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7895" w14:textId="77777777" w:rsidR="00A61F1A" w:rsidRPr="00A61F1A" w:rsidRDefault="00A61F1A" w:rsidP="00A61F1A"/>
    <w:p w14:paraId="3D7EAAFF" w14:textId="79F4F847" w:rsidR="00A61F1A" w:rsidRPr="00A61F1A" w:rsidRDefault="00A61F1A" w:rsidP="00A61F1A">
      <w:pPr>
        <w:pStyle w:val="Title"/>
      </w:pPr>
      <w:r w:rsidRPr="00A61F1A">
        <w:t xml:space="preserve">North Coast Line </w:t>
      </w:r>
      <w:r w:rsidR="00B337AA">
        <w:br/>
      </w:r>
      <w:r w:rsidRPr="00A61F1A">
        <w:t xml:space="preserve">Stabling Expansion </w:t>
      </w:r>
    </w:p>
    <w:p w14:paraId="633E2A3B" w14:textId="34501492" w:rsidR="00A61F1A" w:rsidRPr="00A61F1A" w:rsidRDefault="00A61F1A" w:rsidP="00B337AA">
      <w:pPr>
        <w:pStyle w:val="Subtitle"/>
      </w:pPr>
      <w:r w:rsidRPr="00A61F1A">
        <w:t>April 2025</w:t>
      </w:r>
    </w:p>
    <w:p w14:paraId="279C01E7" w14:textId="42ADE824" w:rsidR="00A61F1A" w:rsidRPr="00A61F1A" w:rsidRDefault="00A61F1A" w:rsidP="00A61F1A">
      <w:pPr>
        <w:pStyle w:val="Heading1"/>
      </w:pPr>
      <w:r w:rsidRPr="00A61F1A">
        <w:t xml:space="preserve">Expanding stabling for our </w:t>
      </w:r>
      <w:r w:rsidR="00B337AA">
        <w:br/>
      </w:r>
      <w:r w:rsidRPr="00A61F1A">
        <w:t>newest trains</w:t>
      </w:r>
    </w:p>
    <w:p w14:paraId="2701B43D" w14:textId="40651B9D" w:rsidR="00A61F1A" w:rsidRPr="00A61F1A" w:rsidRDefault="00A61F1A" w:rsidP="00A61F1A">
      <w:r w:rsidRPr="00A61F1A">
        <w:t xml:space="preserve">To support a significant increase to the state’s train fleet – which is needed to meet the growing demand for rail services – the Queensland Government is working to expand train stabling facilities across the network. </w:t>
      </w:r>
    </w:p>
    <w:p w14:paraId="076C6048" w14:textId="77777777" w:rsidR="00A61F1A" w:rsidRPr="00A61F1A" w:rsidRDefault="00A61F1A" w:rsidP="00A61F1A">
      <w:r w:rsidRPr="00A61F1A">
        <w:t xml:space="preserve">These stabling upgrades will improve network capacity and efficiency and are essential to accommodate the New Generation Rollingstock (NGR) trains and new trains being delivered by the Queensland Train Manufacturing Program (QTMP) in readiness for Cross River Rail. </w:t>
      </w:r>
    </w:p>
    <w:p w14:paraId="63B64EA5" w14:textId="77777777" w:rsidR="00A61F1A" w:rsidRPr="00A61F1A" w:rsidRDefault="00A61F1A" w:rsidP="00A61F1A">
      <w:r w:rsidRPr="00A61F1A">
        <w:t xml:space="preserve">The North Coast Line Stabling Expansion is part of the New Generation Rollingstock Compatible Stabling Yard Upgrades project. </w:t>
      </w:r>
    </w:p>
    <w:p w14:paraId="41190955" w14:textId="63F3FB63" w:rsidR="00A61F1A" w:rsidRDefault="00A61F1A" w:rsidP="00A61F1A">
      <w:r w:rsidRPr="00A61F1A">
        <w:t>It also delivers on the priority outcomes for the SEQ rail network including:</w:t>
      </w:r>
    </w:p>
    <w:p w14:paraId="25B361CE" w14:textId="77777777" w:rsidR="00A61F1A" w:rsidRPr="00A61F1A" w:rsidRDefault="00A61F1A" w:rsidP="00B337AA">
      <w:pPr>
        <w:pStyle w:val="ListBullet"/>
      </w:pPr>
      <w:r w:rsidRPr="00A61F1A">
        <w:t>Ready for Cross River Rail</w:t>
      </w:r>
    </w:p>
    <w:p w14:paraId="6DBBF2AD" w14:textId="77777777" w:rsidR="00A61F1A" w:rsidRPr="00A61F1A" w:rsidRDefault="00A61F1A" w:rsidP="00B337AA">
      <w:pPr>
        <w:pStyle w:val="ListBullet"/>
      </w:pPr>
      <w:r w:rsidRPr="00A61F1A">
        <w:t>Better journeys for customers</w:t>
      </w:r>
    </w:p>
    <w:p w14:paraId="761A6594" w14:textId="5E59C4B1" w:rsidR="00A61F1A" w:rsidRDefault="00A61F1A" w:rsidP="00B337AA">
      <w:pPr>
        <w:pStyle w:val="ListBullet"/>
      </w:pPr>
      <w:r w:rsidRPr="00A61F1A">
        <w:t>Easier access to more locations.</w:t>
      </w:r>
    </w:p>
    <w:p w14:paraId="30628413" w14:textId="26AA9E49" w:rsidR="00A61F1A" w:rsidRDefault="00A61F1A" w:rsidP="00A61F1A">
      <w:pPr>
        <w:pStyle w:val="Heading2"/>
      </w:pPr>
      <w:r w:rsidRPr="00A61F1A">
        <w:t>What is a train stabling facility?</w:t>
      </w:r>
    </w:p>
    <w:p w14:paraId="5BC7BE4E" w14:textId="3FAB5041" w:rsidR="00A61F1A" w:rsidRDefault="00A61F1A" w:rsidP="00A61F1A">
      <w:r>
        <w:t>A stabling facility is a depot where trains are parked when they are not in operation. Trains return to the stabling facility at the end of service and are parked on the site throughout the night (or when they are not in use).</w:t>
      </w:r>
    </w:p>
    <w:p w14:paraId="2CFE4620" w14:textId="5AFEDF09" w:rsidR="00A61F1A" w:rsidRDefault="00A61F1A" w:rsidP="00A61F1A">
      <w:r>
        <w:t>At night, trains parked on the site are cleaned and prepared for the next day’s service. This can include minor maintenance, removing waste and routine inspections.</w:t>
      </w:r>
    </w:p>
    <w:p w14:paraId="083565BA" w14:textId="24AF73AA" w:rsidR="00A61F1A" w:rsidRDefault="00A61F1A" w:rsidP="00A61F1A">
      <w:pPr>
        <w:pStyle w:val="Heading2"/>
      </w:pPr>
      <w:r>
        <w:lastRenderedPageBreak/>
        <w:t xml:space="preserve">Greater efficiency, reduced costs, </w:t>
      </w:r>
      <w:r w:rsidR="00B337AA">
        <w:br/>
      </w:r>
      <w:r>
        <w:t>improved services</w:t>
      </w:r>
    </w:p>
    <w:p w14:paraId="4E773737" w14:textId="207964CF" w:rsidR="00A61F1A" w:rsidRDefault="00A61F1A" w:rsidP="00A61F1A">
      <w:r>
        <w:t>By providing additional train stabling closer to the end of each line or where services start and end, the network will operate more efficiently, improving services and reducing costs.</w:t>
      </w:r>
    </w:p>
    <w:p w14:paraId="47E166FE" w14:textId="4E8E063B" w:rsidR="00A61F1A" w:rsidRDefault="00A61F1A" w:rsidP="00A61F1A">
      <w:r>
        <w:t>Well-located stabling facilities:</w:t>
      </w:r>
    </w:p>
    <w:p w14:paraId="48F7E293" w14:textId="77777777" w:rsidR="00A61F1A" w:rsidRDefault="00A61F1A" w:rsidP="00B337AA">
      <w:pPr>
        <w:pStyle w:val="ListBullet"/>
      </w:pPr>
      <w:r w:rsidRPr="00A61F1A">
        <w:t>increase reliability</w:t>
      </w:r>
    </w:p>
    <w:p w14:paraId="73C82552" w14:textId="0E96C45D" w:rsidR="00A61F1A" w:rsidRPr="00A61F1A" w:rsidRDefault="00A61F1A" w:rsidP="00B337AA">
      <w:pPr>
        <w:pStyle w:val="ListBullet"/>
      </w:pPr>
      <w:r w:rsidRPr="00A61F1A">
        <w:t>reduce network operating costs</w:t>
      </w:r>
    </w:p>
    <w:p w14:paraId="7641FDE6" w14:textId="09AC2A0A" w:rsidR="00A61F1A" w:rsidRPr="00A61F1A" w:rsidRDefault="00A61F1A" w:rsidP="00B337AA">
      <w:pPr>
        <w:pStyle w:val="ListBullet"/>
      </w:pPr>
      <w:r w:rsidRPr="00A61F1A">
        <w:t>improve network capacity (relieving pressures,</w:t>
      </w:r>
      <w:r>
        <w:t xml:space="preserve"> </w:t>
      </w:r>
      <w:r w:rsidRPr="00A61F1A">
        <w:t>junction conflicts and freeing up track space)</w:t>
      </w:r>
    </w:p>
    <w:p w14:paraId="3150FC76" w14:textId="0C89A0F1" w:rsidR="00A61F1A" w:rsidRDefault="00A61F1A" w:rsidP="00B337AA">
      <w:pPr>
        <w:pStyle w:val="ListBullet"/>
      </w:pPr>
      <w:r w:rsidRPr="00A61F1A">
        <w:t>ensure faster response times in case of track</w:t>
      </w:r>
      <w:r>
        <w:t xml:space="preserve"> </w:t>
      </w:r>
      <w:r w:rsidRPr="00A61F1A">
        <w:t>or train failure.</w:t>
      </w:r>
    </w:p>
    <w:p w14:paraId="0513529F" w14:textId="77777777" w:rsidR="00A61F1A" w:rsidRDefault="00A61F1A" w:rsidP="00A61F1A">
      <w:pPr>
        <w:pStyle w:val="Heading2"/>
      </w:pPr>
      <w:r>
        <w:t>How are expansion locations chosen?</w:t>
      </w:r>
    </w:p>
    <w:p w14:paraId="6109B9C5" w14:textId="4E26EB47" w:rsidR="00A61F1A" w:rsidRDefault="00A61F1A" w:rsidP="00A61F1A">
      <w:r>
        <w:t>The Department of Transport and Main Roads (TMR) is currently investigating study areas for preferred upgrade locations as part of planning for the North Coast Line Stabling Expansion project.</w:t>
      </w:r>
    </w:p>
    <w:p w14:paraId="44F460CF" w14:textId="5344E6ED" w:rsidR="00A61F1A" w:rsidRDefault="00A61F1A" w:rsidP="00A61F1A">
      <w:r>
        <w:t>Potential locations are assessed against various criteria including benefits for rail customers, rail network operational requirements and suitability, future network stabling needs, technical feasibility, environmental and social impact, constructability and cost.</w:t>
      </w:r>
    </w:p>
    <w:p w14:paraId="16AF6233" w14:textId="6A8321CB" w:rsidR="00A61F1A" w:rsidRDefault="00A61F1A" w:rsidP="00A61F1A">
      <w:r>
        <w:t>The project team has identified potential upgrade options to expand existing stabling facilities at Nambour and Elimbah.</w:t>
      </w:r>
    </w:p>
    <w:p w14:paraId="77EDD4D3" w14:textId="3D314A64" w:rsidR="00A61F1A" w:rsidRDefault="00A61F1A" w:rsidP="00A61F1A">
      <w:r>
        <w:t xml:space="preserve">These sites </w:t>
      </w:r>
      <w:proofErr w:type="gramStart"/>
      <w:r>
        <w:t>are able to</w:t>
      </w:r>
      <w:proofErr w:type="gramEnd"/>
      <w:r>
        <w:t xml:space="preserve"> support safe and reliable rail services for customers, while minimising impacts on the community and environment.</w:t>
      </w:r>
    </w:p>
    <w:p w14:paraId="451D4D94" w14:textId="6C0748C0" w:rsidR="00A61F1A" w:rsidRDefault="00A61F1A" w:rsidP="00A61F1A">
      <w:r>
        <w:t>Locations and timeframes will be confirmed as part of a comprehensive planning investigation and options analysis process.</w:t>
      </w:r>
    </w:p>
    <w:p w14:paraId="141463AF" w14:textId="42C1F53A" w:rsidR="00A61F1A" w:rsidRDefault="00A61F1A" w:rsidP="00A61F1A">
      <w:r>
        <w:t>The community will be informed as the project progresses and updated when planning is complete.</w:t>
      </w:r>
    </w:p>
    <w:p w14:paraId="3A884C7F" w14:textId="7B8BC322" w:rsidR="005A6DDE" w:rsidRDefault="005A6DDE" w:rsidP="0061059E">
      <w:r>
        <w:rPr>
          <w:noProof/>
        </w:rPr>
        <w:lastRenderedPageBreak/>
        <w:drawing>
          <wp:inline distT="0" distB="0" distL="0" distR="0" wp14:anchorId="3BC9F207" wp14:editId="7312E3D0">
            <wp:extent cx="5756275" cy="8862517"/>
            <wp:effectExtent l="0" t="0" r="0" b="0"/>
            <wp:docPr id="463904128" name="Picture 1" descr="North Coast Line Expanding stabling project map. It displays a project area between Elimbah and Nambour s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04128" name="Picture 1" descr="North Coast Line Expanding stabling project map. It displays a project area between Elimbah and Nambour station.&#10;"/>
                    <pic:cNvPicPr/>
                  </pic:nvPicPr>
                  <pic:blipFill>
                    <a:blip r:embed="rId8">
                      <a:extLst>
                        <a:ext uri="{28A0092B-C50C-407E-A947-70E740481C1C}">
                          <a14:useLocalDpi xmlns:a14="http://schemas.microsoft.com/office/drawing/2010/main" val="0"/>
                        </a:ext>
                      </a:extLst>
                    </a:blip>
                    <a:stretch>
                      <a:fillRect/>
                    </a:stretch>
                  </pic:blipFill>
                  <pic:spPr>
                    <a:xfrm>
                      <a:off x="0" y="0"/>
                      <a:ext cx="5764120" cy="8874595"/>
                    </a:xfrm>
                    <a:prstGeom prst="rect">
                      <a:avLst/>
                    </a:prstGeom>
                  </pic:spPr>
                </pic:pic>
              </a:graphicData>
            </a:graphic>
          </wp:inline>
        </w:drawing>
      </w:r>
    </w:p>
    <w:p w14:paraId="0E3E5D93" w14:textId="28D2D028" w:rsidR="00A61F1A" w:rsidRDefault="00A61F1A" w:rsidP="00A61F1A">
      <w:pPr>
        <w:pStyle w:val="Heading2"/>
      </w:pPr>
      <w:r w:rsidRPr="00A61F1A">
        <w:lastRenderedPageBreak/>
        <w:t>Contact us</w:t>
      </w:r>
    </w:p>
    <w:p w14:paraId="71797E9A" w14:textId="77777777" w:rsidR="00A61F1A" w:rsidRPr="00B337AA" w:rsidRDefault="00A61F1A" w:rsidP="00B337AA">
      <w:pPr>
        <w:pStyle w:val="ListParagraph"/>
        <w:ind w:left="0"/>
      </w:pPr>
      <w:r w:rsidRPr="00B337AA">
        <w:rPr>
          <w:b/>
          <w:bCs/>
        </w:rPr>
        <w:t>Phone:</w:t>
      </w:r>
      <w:r w:rsidRPr="00B337AA">
        <w:t xml:space="preserve"> 07 5451 7055 (Monday to Friday, 9am to 5pm)</w:t>
      </w:r>
    </w:p>
    <w:p w14:paraId="5CFAE0AA" w14:textId="77777777" w:rsidR="00A61F1A" w:rsidRPr="00B337AA" w:rsidRDefault="00A61F1A" w:rsidP="00B337AA">
      <w:pPr>
        <w:pStyle w:val="ListParagraph"/>
        <w:ind w:left="0"/>
      </w:pPr>
      <w:r w:rsidRPr="00B337AA">
        <w:rPr>
          <w:b/>
          <w:bCs/>
        </w:rPr>
        <w:t>Email:</w:t>
      </w:r>
      <w:r w:rsidRPr="00B337AA">
        <w:t xml:space="preserve"> SCPublicTansport@tmr.qld.gov.au</w:t>
      </w:r>
    </w:p>
    <w:p w14:paraId="04259EF1" w14:textId="484AAB66" w:rsidR="00A61F1A" w:rsidRPr="00B337AA" w:rsidRDefault="00A61F1A" w:rsidP="00B337AA">
      <w:pPr>
        <w:pStyle w:val="ListParagraph"/>
        <w:ind w:left="0"/>
      </w:pPr>
      <w:r w:rsidRPr="00B337AA">
        <w:rPr>
          <w:b/>
          <w:bCs/>
        </w:rPr>
        <w:t>Web:</w:t>
      </w:r>
      <w:r w:rsidRPr="00B337AA">
        <w:t xml:space="preserve"> www.tmr.qld.gov.au/north-coast-line-stabling-expansion</w:t>
      </w:r>
    </w:p>
    <w:p w14:paraId="6203D682" w14:textId="128E312B" w:rsidR="00A61F1A" w:rsidRPr="00B337AA" w:rsidRDefault="00A61F1A" w:rsidP="00B337AA">
      <w:pPr>
        <w:pStyle w:val="ListParagraph"/>
        <w:ind w:left="0"/>
      </w:pPr>
      <w:r w:rsidRPr="00B337AA">
        <w:rPr>
          <w:b/>
          <w:bCs/>
        </w:rPr>
        <w:t>Post:</w:t>
      </w:r>
      <w:r w:rsidRPr="00B337AA">
        <w:t xml:space="preserve"> North Coast Line Stabling Expansion Department of Transport and Main Roads PO Box 1600, Maroochydore, Qld 4558</w:t>
      </w:r>
    </w:p>
    <w:sectPr w:rsidR="00A61F1A" w:rsidRPr="00B337AA" w:rsidSect="0061059E">
      <w:footerReference w:type="default" r:id="rId9"/>
      <w:headerReference w:type="first" r:id="rId10"/>
      <w:pgSz w:w="11906" w:h="16838" w:code="9"/>
      <w:pgMar w:top="1135" w:right="1418" w:bottom="1843"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73CBF" w14:textId="77777777" w:rsidR="006D299F" w:rsidRDefault="006D299F" w:rsidP="00A9280E">
      <w:pPr>
        <w:spacing w:line="240" w:lineRule="auto"/>
      </w:pPr>
      <w:r>
        <w:separator/>
      </w:r>
    </w:p>
  </w:endnote>
  <w:endnote w:type="continuationSeparator" w:id="0">
    <w:p w14:paraId="5E75BC17" w14:textId="77777777" w:rsidR="006D299F" w:rsidRDefault="006D299F"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4EE3" w14:textId="0005462A"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4C32CD93" wp14:editId="54055824">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FF7BF"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r w:rsidR="005A6DDE">
      <w:rPr>
        <w:rStyle w:val="Header2Char"/>
      </w:rPr>
      <w:t>North Coast Line Stabling Expansion April 2025</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A9710" w14:textId="77777777" w:rsidR="006D299F" w:rsidRDefault="006D299F" w:rsidP="00A9280E">
      <w:pPr>
        <w:spacing w:line="240" w:lineRule="auto"/>
      </w:pPr>
      <w:r>
        <w:separator/>
      </w:r>
    </w:p>
  </w:footnote>
  <w:footnote w:type="continuationSeparator" w:id="0">
    <w:p w14:paraId="4E2B656D" w14:textId="77777777" w:rsidR="006D299F" w:rsidRDefault="006D299F"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F503" w14:textId="77777777" w:rsidR="00A35033" w:rsidRDefault="00A35033">
    <w:pPr>
      <w:pStyle w:val="Header"/>
    </w:pPr>
    <w:r>
      <w:rPr>
        <w:noProof/>
      </w:rPr>
      <w:drawing>
        <wp:anchor distT="0" distB="0" distL="114300" distR="114300" simplePos="0" relativeHeight="251661312" behindDoc="1" locked="1" layoutInCell="1" allowOverlap="1" wp14:anchorId="6C1351D0" wp14:editId="3C36989E">
          <wp:simplePos x="0" y="0"/>
          <wp:positionH relativeFrom="margin">
            <wp:posOffset>-900430</wp:posOffset>
          </wp:positionH>
          <wp:positionV relativeFrom="margin">
            <wp:posOffset>-741045</wp:posOffset>
          </wp:positionV>
          <wp:extent cx="7558405" cy="10691495"/>
          <wp:effectExtent l="0" t="0" r="4445" b="0"/>
          <wp:wrapNone/>
          <wp:docPr id="1469118309" name="Picture 1469118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F6EEBF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C4840AE"/>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2E8F31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9E47C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F4C8C0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D685A8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267C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1E12B4"/>
    <w:multiLevelType w:val="multilevel"/>
    <w:tmpl w:val="858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A21E3"/>
    <w:multiLevelType w:val="multilevel"/>
    <w:tmpl w:val="58C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52DF5"/>
    <w:multiLevelType w:val="multilevel"/>
    <w:tmpl w:val="A1D2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1C04DC"/>
    <w:multiLevelType w:val="multilevel"/>
    <w:tmpl w:val="4692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6F494D"/>
    <w:multiLevelType w:val="multilevel"/>
    <w:tmpl w:val="AAB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905D82"/>
    <w:multiLevelType w:val="multilevel"/>
    <w:tmpl w:val="3A1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BE1ADC"/>
    <w:multiLevelType w:val="multilevel"/>
    <w:tmpl w:val="3FA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81811"/>
    <w:multiLevelType w:val="multilevel"/>
    <w:tmpl w:val="E10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4E32F9"/>
    <w:multiLevelType w:val="hybridMultilevel"/>
    <w:tmpl w:val="852C5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B7094F"/>
    <w:multiLevelType w:val="hybridMultilevel"/>
    <w:tmpl w:val="865CE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CD3713"/>
    <w:multiLevelType w:val="multilevel"/>
    <w:tmpl w:val="0BAA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1B7F6D"/>
    <w:multiLevelType w:val="hybridMultilevel"/>
    <w:tmpl w:val="A30A3BB4"/>
    <w:lvl w:ilvl="0" w:tplc="5D34EF40">
      <w:start w:val="1"/>
      <w:numFmt w:val="decimal"/>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461A18"/>
    <w:multiLevelType w:val="hybridMultilevel"/>
    <w:tmpl w:val="A824EDC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1" w15:restartNumberingAfterBreak="0">
    <w:nsid w:val="63E21A94"/>
    <w:multiLevelType w:val="hybridMultilevel"/>
    <w:tmpl w:val="C0D09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33" w15:restartNumberingAfterBreak="0">
    <w:nsid w:val="68F82F33"/>
    <w:multiLevelType w:val="hybridMultilevel"/>
    <w:tmpl w:val="F0D60A08"/>
    <w:lvl w:ilvl="0" w:tplc="5D34EF4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9159AA"/>
    <w:multiLevelType w:val="hybridMultilevel"/>
    <w:tmpl w:val="52EEF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4F1A13"/>
    <w:multiLevelType w:val="hybridMultilevel"/>
    <w:tmpl w:val="8DA6A486"/>
    <w:lvl w:ilvl="0" w:tplc="0C090001">
      <w:start w:val="1"/>
      <w:numFmt w:val="bullet"/>
      <w:lvlText w:val=""/>
      <w:lvlJc w:val="left"/>
      <w:pPr>
        <w:ind w:left="720" w:hanging="360"/>
      </w:pPr>
      <w:rPr>
        <w:rFonts w:ascii="Symbol" w:hAnsi="Symbol" w:hint="default"/>
      </w:rPr>
    </w:lvl>
    <w:lvl w:ilvl="1" w:tplc="1A1025B8">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37"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1537810841">
    <w:abstractNumId w:val="6"/>
  </w:num>
  <w:num w:numId="2" w16cid:durableId="611714971">
    <w:abstractNumId w:val="30"/>
  </w:num>
  <w:num w:numId="3" w16cid:durableId="2089233339">
    <w:abstractNumId w:val="1"/>
  </w:num>
  <w:num w:numId="4" w16cid:durableId="1064139033">
    <w:abstractNumId w:val="0"/>
  </w:num>
  <w:num w:numId="5" w16cid:durableId="1131676040">
    <w:abstractNumId w:val="7"/>
  </w:num>
  <w:num w:numId="6" w16cid:durableId="1792286315">
    <w:abstractNumId w:val="36"/>
  </w:num>
  <w:num w:numId="7" w16cid:durableId="1137340397">
    <w:abstractNumId w:val="5"/>
  </w:num>
  <w:num w:numId="8" w16cid:durableId="1764453121">
    <w:abstractNumId w:val="38"/>
  </w:num>
  <w:num w:numId="9" w16cid:durableId="1637031433">
    <w:abstractNumId w:val="4"/>
  </w:num>
  <w:num w:numId="10" w16cid:durableId="1647666585">
    <w:abstractNumId w:val="32"/>
  </w:num>
  <w:num w:numId="11" w16cid:durableId="1284655479">
    <w:abstractNumId w:val="24"/>
  </w:num>
  <w:num w:numId="12" w16cid:durableId="243073785">
    <w:abstractNumId w:val="29"/>
  </w:num>
  <w:num w:numId="13" w16cid:durableId="1688557858">
    <w:abstractNumId w:val="11"/>
  </w:num>
  <w:num w:numId="14" w16cid:durableId="868493949">
    <w:abstractNumId w:val="12"/>
  </w:num>
  <w:num w:numId="15" w16cid:durableId="1187258435">
    <w:abstractNumId w:val="27"/>
  </w:num>
  <w:num w:numId="16" w16cid:durableId="904074665">
    <w:abstractNumId w:val="21"/>
  </w:num>
  <w:num w:numId="17" w16cid:durableId="87309825">
    <w:abstractNumId w:val="23"/>
  </w:num>
  <w:num w:numId="18" w16cid:durableId="1541166783">
    <w:abstractNumId w:val="16"/>
  </w:num>
  <w:num w:numId="19" w16cid:durableId="1299456824">
    <w:abstractNumId w:val="18"/>
  </w:num>
  <w:num w:numId="20" w16cid:durableId="118844587">
    <w:abstractNumId w:val="9"/>
  </w:num>
  <w:num w:numId="21" w16cid:durableId="888106675">
    <w:abstractNumId w:val="15"/>
  </w:num>
  <w:num w:numId="22" w16cid:durableId="1921984302">
    <w:abstractNumId w:val="25"/>
  </w:num>
  <w:num w:numId="23" w16cid:durableId="1661228942">
    <w:abstractNumId w:val="7"/>
  </w:num>
  <w:num w:numId="24" w16cid:durableId="242568461">
    <w:abstractNumId w:val="17"/>
  </w:num>
  <w:num w:numId="25" w16cid:durableId="654720570">
    <w:abstractNumId w:val="8"/>
  </w:num>
  <w:num w:numId="26" w16cid:durableId="1335957949">
    <w:abstractNumId w:val="13"/>
  </w:num>
  <w:num w:numId="27" w16cid:durableId="1431004813">
    <w:abstractNumId w:val="14"/>
  </w:num>
  <w:num w:numId="28" w16cid:durableId="1996836406">
    <w:abstractNumId w:val="22"/>
  </w:num>
  <w:num w:numId="29" w16cid:durableId="1209220137">
    <w:abstractNumId w:val="10"/>
  </w:num>
  <w:num w:numId="30" w16cid:durableId="1843007621">
    <w:abstractNumId w:val="7"/>
  </w:num>
  <w:num w:numId="31" w16cid:durableId="636298608">
    <w:abstractNumId w:val="6"/>
  </w:num>
  <w:num w:numId="32" w16cid:durableId="990671108">
    <w:abstractNumId w:val="1"/>
  </w:num>
  <w:num w:numId="33" w16cid:durableId="1253390904">
    <w:abstractNumId w:val="0"/>
  </w:num>
  <w:num w:numId="34" w16cid:durableId="714813647">
    <w:abstractNumId w:val="3"/>
  </w:num>
  <w:num w:numId="35" w16cid:durableId="1560090524">
    <w:abstractNumId w:val="2"/>
  </w:num>
  <w:num w:numId="36" w16cid:durableId="837580191">
    <w:abstractNumId w:val="6"/>
  </w:num>
  <w:num w:numId="37" w16cid:durableId="9158972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1861575">
    <w:abstractNumId w:val="37"/>
  </w:num>
  <w:num w:numId="39" w16cid:durableId="1261836100">
    <w:abstractNumId w:val="28"/>
  </w:num>
  <w:num w:numId="40" w16cid:durableId="1520779936">
    <w:abstractNumId w:val="19"/>
  </w:num>
  <w:num w:numId="41" w16cid:durableId="249697999">
    <w:abstractNumId w:val="20"/>
  </w:num>
  <w:num w:numId="42" w16cid:durableId="1908880875">
    <w:abstractNumId w:val="33"/>
  </w:num>
  <w:num w:numId="43" w16cid:durableId="1731492046">
    <w:abstractNumId w:val="26"/>
  </w:num>
  <w:num w:numId="44" w16cid:durableId="544173332">
    <w:abstractNumId w:val="34"/>
  </w:num>
  <w:num w:numId="45" w16cid:durableId="1948538418">
    <w:abstractNumId w:val="35"/>
  </w:num>
  <w:num w:numId="46" w16cid:durableId="147714692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BA3"/>
    <w:rsid w:val="000126D6"/>
    <w:rsid w:val="00012CAD"/>
    <w:rsid w:val="0001356D"/>
    <w:rsid w:val="00024C73"/>
    <w:rsid w:val="00040D81"/>
    <w:rsid w:val="000623DB"/>
    <w:rsid w:val="00063EC5"/>
    <w:rsid w:val="00067CCE"/>
    <w:rsid w:val="00073B95"/>
    <w:rsid w:val="000852B6"/>
    <w:rsid w:val="000919D4"/>
    <w:rsid w:val="000A21FE"/>
    <w:rsid w:val="000B62D3"/>
    <w:rsid w:val="000C4ABA"/>
    <w:rsid w:val="00101A73"/>
    <w:rsid w:val="00140CB2"/>
    <w:rsid w:val="00154AB7"/>
    <w:rsid w:val="00171882"/>
    <w:rsid w:val="00172F20"/>
    <w:rsid w:val="0018390F"/>
    <w:rsid w:val="0018783A"/>
    <w:rsid w:val="00190D28"/>
    <w:rsid w:val="001A3FDE"/>
    <w:rsid w:val="001D17A2"/>
    <w:rsid w:val="001E3F0A"/>
    <w:rsid w:val="00204A19"/>
    <w:rsid w:val="00216C9B"/>
    <w:rsid w:val="002203EC"/>
    <w:rsid w:val="00242092"/>
    <w:rsid w:val="00251AA3"/>
    <w:rsid w:val="00267FDF"/>
    <w:rsid w:val="00281FEA"/>
    <w:rsid w:val="002909B5"/>
    <w:rsid w:val="00293985"/>
    <w:rsid w:val="002A7912"/>
    <w:rsid w:val="002D34A2"/>
    <w:rsid w:val="002D489B"/>
    <w:rsid w:val="002D7D2F"/>
    <w:rsid w:val="002F2965"/>
    <w:rsid w:val="002F2FF2"/>
    <w:rsid w:val="003054BF"/>
    <w:rsid w:val="00321BB9"/>
    <w:rsid w:val="00330284"/>
    <w:rsid w:val="0034090D"/>
    <w:rsid w:val="003533A6"/>
    <w:rsid w:val="00394461"/>
    <w:rsid w:val="003B4322"/>
    <w:rsid w:val="003B6A9D"/>
    <w:rsid w:val="003C73AE"/>
    <w:rsid w:val="003D3DDE"/>
    <w:rsid w:val="003D6AE2"/>
    <w:rsid w:val="003E0083"/>
    <w:rsid w:val="003F021E"/>
    <w:rsid w:val="0042018F"/>
    <w:rsid w:val="004207B9"/>
    <w:rsid w:val="00435625"/>
    <w:rsid w:val="00444D2D"/>
    <w:rsid w:val="004473C8"/>
    <w:rsid w:val="00482035"/>
    <w:rsid w:val="00485A2E"/>
    <w:rsid w:val="00486E3B"/>
    <w:rsid w:val="00492B82"/>
    <w:rsid w:val="00492FF4"/>
    <w:rsid w:val="004B1945"/>
    <w:rsid w:val="004B2BB5"/>
    <w:rsid w:val="004B5948"/>
    <w:rsid w:val="004C6FAE"/>
    <w:rsid w:val="004D56A9"/>
    <w:rsid w:val="004F108A"/>
    <w:rsid w:val="00503AD7"/>
    <w:rsid w:val="005075D9"/>
    <w:rsid w:val="00511F74"/>
    <w:rsid w:val="005241D3"/>
    <w:rsid w:val="005356D0"/>
    <w:rsid w:val="00545452"/>
    <w:rsid w:val="00546311"/>
    <w:rsid w:val="00554223"/>
    <w:rsid w:val="00560347"/>
    <w:rsid w:val="00567279"/>
    <w:rsid w:val="00572ECD"/>
    <w:rsid w:val="0057777A"/>
    <w:rsid w:val="00596985"/>
    <w:rsid w:val="005A6DDE"/>
    <w:rsid w:val="005B366A"/>
    <w:rsid w:val="005B4843"/>
    <w:rsid w:val="005B5D84"/>
    <w:rsid w:val="005B5DD8"/>
    <w:rsid w:val="005C435D"/>
    <w:rsid w:val="005D2A58"/>
    <w:rsid w:val="005F07A0"/>
    <w:rsid w:val="00601688"/>
    <w:rsid w:val="0061059E"/>
    <w:rsid w:val="00650A5D"/>
    <w:rsid w:val="0067263C"/>
    <w:rsid w:val="0067596A"/>
    <w:rsid w:val="0068573B"/>
    <w:rsid w:val="006902D2"/>
    <w:rsid w:val="00692EE8"/>
    <w:rsid w:val="006A257D"/>
    <w:rsid w:val="006D299F"/>
    <w:rsid w:val="006E4323"/>
    <w:rsid w:val="006F44A2"/>
    <w:rsid w:val="006F7B3D"/>
    <w:rsid w:val="00715DBD"/>
    <w:rsid w:val="00723604"/>
    <w:rsid w:val="00737BE9"/>
    <w:rsid w:val="00737DCA"/>
    <w:rsid w:val="00747BA3"/>
    <w:rsid w:val="007777F6"/>
    <w:rsid w:val="00794CEF"/>
    <w:rsid w:val="007A6B20"/>
    <w:rsid w:val="007B1D1E"/>
    <w:rsid w:val="007B55B4"/>
    <w:rsid w:val="007B5787"/>
    <w:rsid w:val="007E0CD4"/>
    <w:rsid w:val="007E45D3"/>
    <w:rsid w:val="007E5D9B"/>
    <w:rsid w:val="007E6613"/>
    <w:rsid w:val="007F00CE"/>
    <w:rsid w:val="007F7402"/>
    <w:rsid w:val="00805CF7"/>
    <w:rsid w:val="00817400"/>
    <w:rsid w:val="00831DDA"/>
    <w:rsid w:val="00832E05"/>
    <w:rsid w:val="0084404D"/>
    <w:rsid w:val="00850F61"/>
    <w:rsid w:val="00873D82"/>
    <w:rsid w:val="0088793C"/>
    <w:rsid w:val="008938DB"/>
    <w:rsid w:val="008A05EE"/>
    <w:rsid w:val="008A7368"/>
    <w:rsid w:val="008C0F00"/>
    <w:rsid w:val="008D375B"/>
    <w:rsid w:val="008D4272"/>
    <w:rsid w:val="008D45CD"/>
    <w:rsid w:val="008E08B2"/>
    <w:rsid w:val="008F1000"/>
    <w:rsid w:val="008F15FD"/>
    <w:rsid w:val="008F79AE"/>
    <w:rsid w:val="00900DEE"/>
    <w:rsid w:val="00910872"/>
    <w:rsid w:val="00923EA4"/>
    <w:rsid w:val="00924579"/>
    <w:rsid w:val="00936D2C"/>
    <w:rsid w:val="0094184C"/>
    <w:rsid w:val="00954EB3"/>
    <w:rsid w:val="00955CFE"/>
    <w:rsid w:val="00966CEB"/>
    <w:rsid w:val="00984F2A"/>
    <w:rsid w:val="009868A8"/>
    <w:rsid w:val="009A127C"/>
    <w:rsid w:val="009A4AED"/>
    <w:rsid w:val="009B024D"/>
    <w:rsid w:val="009C476A"/>
    <w:rsid w:val="009E1BA3"/>
    <w:rsid w:val="009F5153"/>
    <w:rsid w:val="00A13321"/>
    <w:rsid w:val="00A250D6"/>
    <w:rsid w:val="00A35033"/>
    <w:rsid w:val="00A51CDC"/>
    <w:rsid w:val="00A61F1A"/>
    <w:rsid w:val="00A63DCB"/>
    <w:rsid w:val="00A67B95"/>
    <w:rsid w:val="00A77553"/>
    <w:rsid w:val="00A9280E"/>
    <w:rsid w:val="00AE2692"/>
    <w:rsid w:val="00B01571"/>
    <w:rsid w:val="00B02107"/>
    <w:rsid w:val="00B0588B"/>
    <w:rsid w:val="00B1179E"/>
    <w:rsid w:val="00B15F3B"/>
    <w:rsid w:val="00B337AA"/>
    <w:rsid w:val="00B44A61"/>
    <w:rsid w:val="00B54845"/>
    <w:rsid w:val="00B56ABB"/>
    <w:rsid w:val="00B65437"/>
    <w:rsid w:val="00B6661D"/>
    <w:rsid w:val="00B70360"/>
    <w:rsid w:val="00B94111"/>
    <w:rsid w:val="00BB1F42"/>
    <w:rsid w:val="00BB29BA"/>
    <w:rsid w:val="00BB35E9"/>
    <w:rsid w:val="00BC1C7D"/>
    <w:rsid w:val="00C0623C"/>
    <w:rsid w:val="00C12AC8"/>
    <w:rsid w:val="00C26415"/>
    <w:rsid w:val="00C358A6"/>
    <w:rsid w:val="00C371CC"/>
    <w:rsid w:val="00C37DC0"/>
    <w:rsid w:val="00C61610"/>
    <w:rsid w:val="00C6493C"/>
    <w:rsid w:val="00C85784"/>
    <w:rsid w:val="00CB03AE"/>
    <w:rsid w:val="00CB19E7"/>
    <w:rsid w:val="00CB5194"/>
    <w:rsid w:val="00CB6F7C"/>
    <w:rsid w:val="00CC58D5"/>
    <w:rsid w:val="00CE0CFA"/>
    <w:rsid w:val="00D242AE"/>
    <w:rsid w:val="00D310FD"/>
    <w:rsid w:val="00D34E36"/>
    <w:rsid w:val="00D37356"/>
    <w:rsid w:val="00D62542"/>
    <w:rsid w:val="00D77F76"/>
    <w:rsid w:val="00D8103A"/>
    <w:rsid w:val="00D840FD"/>
    <w:rsid w:val="00D91F41"/>
    <w:rsid w:val="00DB782F"/>
    <w:rsid w:val="00DC0880"/>
    <w:rsid w:val="00DC7CAF"/>
    <w:rsid w:val="00DD7258"/>
    <w:rsid w:val="00DE0712"/>
    <w:rsid w:val="00DF29E6"/>
    <w:rsid w:val="00E40381"/>
    <w:rsid w:val="00E4305A"/>
    <w:rsid w:val="00E43405"/>
    <w:rsid w:val="00E434E1"/>
    <w:rsid w:val="00E712EE"/>
    <w:rsid w:val="00EB21D5"/>
    <w:rsid w:val="00EB3C3D"/>
    <w:rsid w:val="00EF4EAD"/>
    <w:rsid w:val="00F06129"/>
    <w:rsid w:val="00F12B31"/>
    <w:rsid w:val="00F1727E"/>
    <w:rsid w:val="00F17E91"/>
    <w:rsid w:val="00F266F9"/>
    <w:rsid w:val="00F353AC"/>
    <w:rsid w:val="00F3649F"/>
    <w:rsid w:val="00F477A1"/>
    <w:rsid w:val="00F518AD"/>
    <w:rsid w:val="00F77ECC"/>
    <w:rsid w:val="00F82919"/>
    <w:rsid w:val="00F872AD"/>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D3E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4A2"/>
    <w:pPr>
      <w:suppressAutoHyphens/>
      <w:spacing w:before="160" w:after="240" w:line="320" w:lineRule="atLeast"/>
    </w:pPr>
    <w:rPr>
      <w:rFonts w:ascii="Arial" w:hAnsi="Arial"/>
      <w:color w:val="18242E"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41C2C"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3E6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3E69"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MessageHeader">
    <w:name w:val="Message Header"/>
    <w:basedOn w:val="Normal"/>
    <w:link w:val="MessageHeaderChar"/>
    <w:uiPriority w:val="99"/>
    <w:unhideWhenUsed/>
    <w:rsid w:val="00A51CDC"/>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324B5E" w:themeColor="text1" w:themeTint="BF"/>
      <w:sz w:val="20"/>
    </w:rPr>
  </w:style>
  <w:style w:type="character" w:customStyle="1" w:styleId="FooterChar">
    <w:name w:val="Footer Char"/>
    <w:basedOn w:val="DefaultParagraphFont"/>
    <w:link w:val="Footer"/>
    <w:uiPriority w:val="99"/>
    <w:rsid w:val="000126D6"/>
    <w:rPr>
      <w:rFonts w:ascii="Arial" w:hAnsi="Arial"/>
      <w:color w:val="324B5E"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324B5E"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324B5E"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324B5E" w:themeColor="text1" w:themeTint="BF"/>
      <w:sz w:val="20"/>
    </w:rPr>
  </w:style>
  <w:style w:type="paragraph" w:styleId="ListNumber">
    <w:name w:val="List Number"/>
    <w:basedOn w:val="Normal"/>
    <w:uiPriority w:val="99"/>
    <w:unhideWhenUsed/>
    <w:rsid w:val="00F82919"/>
    <w:pPr>
      <w:numPr>
        <w:numId w:val="2"/>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2"/>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2"/>
      </w:numPr>
      <w:spacing w:before="0" w:after="0"/>
      <w:ind w:left="1446"/>
      <w:contextualSpacing/>
    </w:pPr>
  </w:style>
  <w:style w:type="paragraph" w:styleId="ListBullet">
    <w:name w:val="List Bullet"/>
    <w:basedOn w:val="Normal"/>
    <w:uiPriority w:val="99"/>
    <w:unhideWhenUsed/>
    <w:rsid w:val="005B5DD8"/>
    <w:pPr>
      <w:numPr>
        <w:numId w:val="22"/>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8"/>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10"/>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3E6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B337AA"/>
    <w:pPr>
      <w:ind w:left="720"/>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41C2C"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3E69"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F82919"/>
    <w:pPr>
      <w:numPr>
        <w:ilvl w:val="1"/>
      </w:numPr>
      <w:spacing w:before="0" w:after="480" w:line="520" w:lineRule="atLeas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F82919"/>
    <w:rPr>
      <w:rFonts w:ascii="Arial" w:eastAsiaTheme="majorEastAsia" w:hAnsi="Arial" w:cstheme="majorBidi"/>
      <w:color w:val="041C2C" w:themeColor="background2" w:themeShade="1A"/>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C6493C"/>
    <w:rPr>
      <w:rFonts w:ascii="Arial" w:hAnsi="Arial"/>
      <w:i/>
      <w:color w:val="003E69" w:themeColor="text2"/>
      <w:sz w:val="24"/>
      <w:szCs w:val="24"/>
    </w:rPr>
  </w:style>
  <w:style w:type="character" w:styleId="SubtleEmphasis">
    <w:name w:val="Subtle Emphasis"/>
    <w:basedOn w:val="DefaultParagraphFont"/>
    <w:uiPriority w:val="19"/>
    <w:qFormat/>
    <w:rsid w:val="00F872AD"/>
    <w:rPr>
      <w:i/>
      <w:iCs/>
      <w:color w:val="324B5E" w:themeColor="text1" w:themeTint="BF"/>
    </w:rPr>
  </w:style>
  <w:style w:type="character" w:styleId="SubtleReference">
    <w:name w:val="Subtle Reference"/>
    <w:basedOn w:val="DefaultParagraphFont"/>
    <w:uiPriority w:val="31"/>
    <w:qFormat/>
    <w:rsid w:val="00F872AD"/>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3E69"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18242E" w:themeColor="text1" w:themeTint="E6"/>
      <w:sz w:val="24"/>
      <w:szCs w:val="24"/>
      <w:shd w:val="clear" w:color="auto" w:fill="ECF6FD"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3E69"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1E34" w:themeColor="text2" w:themeShade="80"/>
      <w:sz w:val="20"/>
    </w:rPr>
    <w:tblPr>
      <w:tblStyleRowBandSize w:val="1"/>
      <w:tblBorders>
        <w:insideH w:val="dotted" w:sz="4" w:space="0" w:color="003E69" w:themeColor="accent1"/>
        <w:insideV w:val="dotted" w:sz="4" w:space="0" w:color="003E6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CF6FD" w:themeColor="background2"/>
        <w:sz w:val="20"/>
      </w:rPr>
      <w:tblPr/>
      <w:tcPr>
        <w:tcBorders>
          <w:top w:val="nil"/>
          <w:left w:val="nil"/>
          <w:bottom w:val="single" w:sz="8" w:space="0" w:color="071E3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4B1945"/>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4B1945"/>
    <w:rPr>
      <w:rFonts w:asciiTheme="majorHAnsi" w:eastAsiaTheme="majorEastAsia" w:hAnsiTheme="majorHAnsi" w:cstheme="majorBidi"/>
      <w:b/>
      <w:color w:val="003E69" w:themeColor="accent1"/>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18242E"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324B5E"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18242E"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5F89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F89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DBCFF" w:themeColor="accent1" w:themeTint="66"/>
        <w:left w:val="single" w:sz="4" w:space="0" w:color="5DBCFF" w:themeColor="accent1" w:themeTint="66"/>
        <w:bottom w:val="single" w:sz="4" w:space="0" w:color="5DBCFF" w:themeColor="accent1" w:themeTint="66"/>
        <w:right w:val="single" w:sz="4" w:space="0" w:color="5DBCFF" w:themeColor="accent1" w:themeTint="66"/>
        <w:insideH w:val="single" w:sz="4" w:space="0" w:color="5DBCFF" w:themeColor="accent1" w:themeTint="66"/>
        <w:insideV w:val="single" w:sz="4" w:space="0" w:color="5DBCFF" w:themeColor="accent1" w:themeTint="66"/>
      </w:tblBorders>
    </w:tblPr>
    <w:tblStylePr w:type="firstRow">
      <w:rPr>
        <w:b/>
        <w:bCs/>
      </w:rPr>
      <w:tblPr/>
      <w:tcPr>
        <w:tcBorders>
          <w:bottom w:val="single" w:sz="12" w:space="0" w:color="0C9AFF" w:themeColor="accent1" w:themeTint="99"/>
        </w:tcBorders>
      </w:tcPr>
    </w:tblStylePr>
    <w:tblStylePr w:type="lastRow">
      <w:rPr>
        <w:b/>
        <w:bCs/>
      </w:rPr>
      <w:tblPr/>
      <w:tcPr>
        <w:tcBorders>
          <w:top w:val="double" w:sz="2" w:space="0" w:color="0C9A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2584</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2025-04-09T00:38:00Z</dcterms:created>
  <dcterms:modified xsi:type="dcterms:W3CDTF">2025-04-09T00:39:00Z</dcterms:modified>
</cp:coreProperties>
</file>