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7987" w14:textId="1B4BF3C1" w:rsidR="00EA32BE" w:rsidRPr="000254E1" w:rsidRDefault="00EA32BE" w:rsidP="00777C37">
      <w:pPr>
        <w:pStyle w:val="BodyText"/>
        <w:tabs>
          <w:tab w:val="right" w:pos="10204"/>
        </w:tabs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0254E1">
        <w:rPr>
          <w:rFonts w:ascii="Noto Sans" w:hAnsi="Noto Sans" w:cs="Noto Sans"/>
          <w:b/>
          <w:bCs/>
          <w:sz w:val="32"/>
          <w:szCs w:val="32"/>
        </w:rPr>
        <w:t xml:space="preserve">Department of Transport and Main </w:t>
      </w:r>
      <w:r w:rsidRPr="0022395E">
        <w:rPr>
          <w:rFonts w:ascii="Noto Sans" w:hAnsi="Noto Sans" w:cs="Noto Sans"/>
          <w:b/>
          <w:bCs/>
          <w:sz w:val="32"/>
          <w:szCs w:val="32"/>
        </w:rPr>
        <w:t>Road</w:t>
      </w:r>
      <w:r w:rsidR="000D336A" w:rsidRPr="0022395E">
        <w:rPr>
          <w:rFonts w:ascii="Noto Sans" w:hAnsi="Noto Sans" w:cs="Noto Sans"/>
          <w:b/>
          <w:bCs/>
          <w:sz w:val="32"/>
          <w:szCs w:val="32"/>
        </w:rPr>
        <w:t>s</w:t>
      </w:r>
    </w:p>
    <w:p w14:paraId="4CCE8B1C" w14:textId="10C69277" w:rsidR="00E02244" w:rsidRPr="000254E1" w:rsidRDefault="001A6911" w:rsidP="00777C37">
      <w:pPr>
        <w:pStyle w:val="BodyText"/>
        <w:tabs>
          <w:tab w:val="right" w:pos="10204"/>
        </w:tabs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0254E1">
        <w:rPr>
          <w:rFonts w:ascii="Noto Sans" w:hAnsi="Noto Sans" w:cs="Noto Sans"/>
          <w:b/>
          <w:bCs/>
          <w:sz w:val="32"/>
          <w:szCs w:val="32"/>
        </w:rPr>
        <w:t xml:space="preserve">Strategic Plan </w:t>
      </w:r>
      <w:r w:rsidR="00B94916" w:rsidRPr="000254E1">
        <w:rPr>
          <w:rFonts w:ascii="Noto Sans" w:hAnsi="Noto Sans" w:cs="Noto Sans"/>
          <w:b/>
          <w:bCs/>
          <w:sz w:val="32"/>
          <w:szCs w:val="32"/>
        </w:rPr>
        <w:t>Measures</w:t>
      </w:r>
      <w:r w:rsidR="004119D7" w:rsidRPr="000254E1">
        <w:rPr>
          <w:rFonts w:ascii="Noto Sans" w:hAnsi="Noto Sans" w:cs="Noto Sans"/>
          <w:b/>
          <w:bCs/>
          <w:sz w:val="32"/>
          <w:szCs w:val="32"/>
        </w:rPr>
        <w:t xml:space="preserve"> </w:t>
      </w:r>
      <w:r w:rsidRPr="000254E1">
        <w:rPr>
          <w:rFonts w:ascii="Noto Sans" w:hAnsi="Noto Sans" w:cs="Noto Sans"/>
          <w:b/>
          <w:bCs/>
          <w:sz w:val="32"/>
          <w:szCs w:val="32"/>
        </w:rPr>
        <w:t>202</w:t>
      </w:r>
      <w:r w:rsidR="00904E71" w:rsidRPr="000254E1">
        <w:rPr>
          <w:rFonts w:ascii="Noto Sans" w:hAnsi="Noto Sans" w:cs="Noto Sans"/>
          <w:b/>
          <w:bCs/>
          <w:sz w:val="32"/>
          <w:szCs w:val="32"/>
        </w:rPr>
        <w:t>6</w:t>
      </w:r>
      <w:r w:rsidR="002C5F7D" w:rsidRPr="000254E1">
        <w:rPr>
          <w:rFonts w:ascii="Noto Sans" w:hAnsi="Noto Sans" w:cs="Noto Sans"/>
          <w:b/>
          <w:bCs/>
          <w:sz w:val="32"/>
          <w:szCs w:val="32"/>
        </w:rPr>
        <w:t>–</w:t>
      </w:r>
      <w:r w:rsidR="008A094F" w:rsidRPr="000254E1">
        <w:rPr>
          <w:rFonts w:ascii="Noto Sans" w:hAnsi="Noto Sans" w:cs="Noto Sans"/>
          <w:b/>
          <w:bCs/>
          <w:sz w:val="32"/>
          <w:szCs w:val="32"/>
        </w:rPr>
        <w:t>2</w:t>
      </w:r>
      <w:r w:rsidR="00904E71" w:rsidRPr="000254E1">
        <w:rPr>
          <w:rFonts w:ascii="Noto Sans" w:hAnsi="Noto Sans" w:cs="Noto Sans"/>
          <w:b/>
          <w:bCs/>
          <w:sz w:val="32"/>
          <w:szCs w:val="32"/>
        </w:rPr>
        <w:t>7</w:t>
      </w:r>
    </w:p>
    <w:p w14:paraId="7B468782" w14:textId="77777777" w:rsidR="00C45B79" w:rsidRPr="00205219" w:rsidRDefault="00C45B79" w:rsidP="00205219">
      <w:pPr>
        <w:pStyle w:val="Heading1"/>
        <w:spacing w:before="240"/>
        <w:rPr>
          <w:rFonts w:ascii="Noto Sans" w:hAnsi="Noto Sans" w:cs="Noto Sans"/>
          <w:color w:val="005EB8"/>
          <w:sz w:val="28"/>
          <w:szCs w:val="22"/>
        </w:rPr>
      </w:pPr>
      <w:r w:rsidRPr="00205219">
        <w:rPr>
          <w:rFonts w:ascii="Noto Sans" w:hAnsi="Noto Sans" w:cs="Noto Sans"/>
          <w:color w:val="005EB8"/>
          <w:sz w:val="28"/>
          <w:szCs w:val="22"/>
        </w:rPr>
        <w:t>Accessible and integrated: A transport system that is accessible and provides connectivity</w:t>
      </w:r>
    </w:p>
    <w:tbl>
      <w:tblPr>
        <w:tblStyle w:val="TableGrid"/>
        <w:tblW w:w="10314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E20348" w:rsidRPr="005C7A7A" w14:paraId="4090D1D6" w14:textId="77777777" w:rsidTr="00205219">
        <w:trPr>
          <w:trHeight w:val="454"/>
        </w:trPr>
        <w:tc>
          <w:tcPr>
            <w:tcW w:w="10314" w:type="dxa"/>
            <w:shd w:val="clear" w:color="auto" w:fill="005EB8"/>
            <w:vAlign w:val="center"/>
          </w:tcPr>
          <w:p w14:paraId="3485D838" w14:textId="7F5F7272" w:rsidR="00E20348" w:rsidRPr="005C7A7A" w:rsidRDefault="00C45B79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Performance indicator</w:t>
            </w:r>
            <w:r w:rsidR="00205219"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: Integrated transport network</w:t>
            </w:r>
          </w:p>
        </w:tc>
      </w:tr>
      <w:tr w:rsidR="00C45B79" w:rsidRPr="005C7A7A" w14:paraId="485FE86A" w14:textId="77777777" w:rsidTr="00205219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474BF76D" w14:textId="123F0D32" w:rsidR="00C45B79" w:rsidRPr="005C7A7A" w:rsidRDefault="00C45B79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 xml:space="preserve">Strategic </w:t>
            </w:r>
            <w:r w:rsidR="00064338">
              <w:rPr>
                <w:rFonts w:ascii="Noto Sans" w:hAnsi="Noto Sans" w:cs="Noto Sans"/>
                <w:color w:val="auto"/>
                <w:sz w:val="22"/>
                <w:szCs w:val="22"/>
              </w:rPr>
              <w:t>Plan M</w:t>
            </w: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>easures</w:t>
            </w:r>
          </w:p>
        </w:tc>
      </w:tr>
      <w:tr w:rsidR="00E20348" w:rsidRPr="005C7A7A" w14:paraId="6360212B" w14:textId="77777777" w:rsidTr="00205219">
        <w:trPr>
          <w:trHeight w:val="680"/>
        </w:trPr>
        <w:tc>
          <w:tcPr>
            <w:tcW w:w="10314" w:type="dxa"/>
          </w:tcPr>
          <w:p w14:paraId="5CAEA096" w14:textId="7CC20EC2" w:rsidR="00E20348" w:rsidRPr="005C7A7A" w:rsidRDefault="00E20348" w:rsidP="005E1336">
            <w:pPr>
              <w:rPr>
                <w:rFonts w:ascii="Noto Sans" w:hAnsi="Noto Sans" w:cs="Noto Sans"/>
                <w:bCs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bCs/>
                <w:sz w:val="22"/>
                <w:szCs w:val="22"/>
              </w:rPr>
              <w:t xml:space="preserve">Proportion of population residing within 800 </w:t>
            </w:r>
            <w:proofErr w:type="spellStart"/>
            <w:r w:rsidRPr="005C7A7A">
              <w:rPr>
                <w:rFonts w:ascii="Noto Sans" w:hAnsi="Noto Sans" w:cs="Noto Sans"/>
                <w:bCs/>
                <w:sz w:val="22"/>
                <w:szCs w:val="22"/>
              </w:rPr>
              <w:t>metres</w:t>
            </w:r>
            <w:proofErr w:type="spellEnd"/>
            <w:r w:rsidRPr="005C7A7A">
              <w:rPr>
                <w:rFonts w:ascii="Noto Sans" w:hAnsi="Noto Sans" w:cs="Noto Sans"/>
                <w:bCs/>
                <w:sz w:val="22"/>
                <w:szCs w:val="22"/>
              </w:rPr>
              <w:t xml:space="preserve"> of all day, frequent public transport services (15 min or better headway, 7am to 7pm, 7 days a week)</w:t>
            </w:r>
          </w:p>
        </w:tc>
      </w:tr>
      <w:tr w:rsidR="00E20348" w:rsidRPr="005C7A7A" w14:paraId="3FE2470D" w14:textId="77777777" w:rsidTr="00205219">
        <w:trPr>
          <w:trHeight w:val="397"/>
        </w:trPr>
        <w:tc>
          <w:tcPr>
            <w:tcW w:w="10314" w:type="dxa"/>
          </w:tcPr>
          <w:p w14:paraId="67B3F899" w14:textId="5DF87FD1" w:rsidR="00E20348" w:rsidRPr="005C7A7A" w:rsidRDefault="00E20348" w:rsidP="005E1336">
            <w:pPr>
              <w:rPr>
                <w:rFonts w:ascii="Noto Sans" w:hAnsi="Noto Sans" w:cs="Noto Sans"/>
                <w:bCs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bCs/>
                <w:sz w:val="22"/>
                <w:szCs w:val="22"/>
              </w:rPr>
              <w:t xml:space="preserve">Proportion of population with access to public transport within 400 </w:t>
            </w:r>
            <w:proofErr w:type="spellStart"/>
            <w:r w:rsidRPr="005C7A7A">
              <w:rPr>
                <w:rFonts w:ascii="Noto Sans" w:hAnsi="Noto Sans" w:cs="Noto Sans"/>
                <w:bCs/>
                <w:sz w:val="22"/>
                <w:szCs w:val="22"/>
              </w:rPr>
              <w:t>metres</w:t>
            </w:r>
            <w:proofErr w:type="spellEnd"/>
            <w:r w:rsidRPr="005C7A7A">
              <w:rPr>
                <w:rFonts w:ascii="Noto Sans" w:hAnsi="Noto Sans" w:cs="Noto Sans"/>
                <w:bCs/>
                <w:sz w:val="22"/>
                <w:szCs w:val="22"/>
              </w:rPr>
              <w:t xml:space="preserve"> of their residence</w:t>
            </w:r>
          </w:p>
        </w:tc>
      </w:tr>
      <w:tr w:rsidR="00205219" w:rsidRPr="005C7A7A" w14:paraId="54FFEEBE" w14:textId="77777777" w:rsidTr="00205219">
        <w:trPr>
          <w:trHeight w:val="521"/>
        </w:trPr>
        <w:tc>
          <w:tcPr>
            <w:tcW w:w="10314" w:type="dxa"/>
            <w:shd w:val="clear" w:color="auto" w:fill="005EB8"/>
            <w:vAlign w:val="center"/>
          </w:tcPr>
          <w:p w14:paraId="71E40E27" w14:textId="0EE2DAB8" w:rsidR="00205219" w:rsidRPr="005C7A7A" w:rsidRDefault="00205219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Performance indicator: Accessible passenger transport services</w:t>
            </w:r>
          </w:p>
        </w:tc>
      </w:tr>
      <w:tr w:rsidR="00205219" w:rsidRPr="005C7A7A" w14:paraId="5FFEF4F9" w14:textId="77777777" w:rsidTr="00205219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55DB7AB2" w14:textId="00FDEE37" w:rsidR="00205219" w:rsidRPr="005C7A7A" w:rsidRDefault="00064338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 xml:space="preserve">Strategic </w:t>
            </w:r>
            <w:r>
              <w:rPr>
                <w:rFonts w:ascii="Noto Sans" w:hAnsi="Noto Sans" w:cs="Noto Sans"/>
                <w:color w:val="auto"/>
                <w:sz w:val="22"/>
                <w:szCs w:val="22"/>
              </w:rPr>
              <w:t>Plan M</w:t>
            </w: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>easures</w:t>
            </w:r>
          </w:p>
        </w:tc>
      </w:tr>
      <w:tr w:rsidR="00E20348" w:rsidRPr="005C7A7A" w14:paraId="060B60E7" w14:textId="77777777" w:rsidTr="00205219">
        <w:trPr>
          <w:trHeight w:val="397"/>
        </w:trPr>
        <w:tc>
          <w:tcPr>
            <w:tcW w:w="10314" w:type="dxa"/>
          </w:tcPr>
          <w:p w14:paraId="038B2466" w14:textId="3E76ECC9" w:rsidR="00E20348" w:rsidRPr="005C7A7A" w:rsidRDefault="00E20348" w:rsidP="005E1336">
            <w:p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 xml:space="preserve">Taxi Subsidy Scheme - Number of subsidised trips </w:t>
            </w:r>
          </w:p>
        </w:tc>
      </w:tr>
      <w:tr w:rsidR="00E20348" w:rsidRPr="005C7A7A" w14:paraId="5B0C49DB" w14:textId="77777777" w:rsidTr="00205219">
        <w:trPr>
          <w:trHeight w:val="534"/>
        </w:trPr>
        <w:tc>
          <w:tcPr>
            <w:tcW w:w="10314" w:type="dxa"/>
          </w:tcPr>
          <w:p w14:paraId="08C2DFA7" w14:textId="77777777" w:rsidR="00E20348" w:rsidRPr="005C7A7A" w:rsidRDefault="00E20348" w:rsidP="005E1336">
            <w:p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Patronage on government contracted services (millions):</w:t>
            </w:r>
          </w:p>
          <w:p w14:paraId="370AB5A7" w14:textId="77777777" w:rsidR="00E20348" w:rsidRPr="005C7A7A" w:rsidRDefault="00E20348" w:rsidP="005E1336">
            <w:p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proofErr w:type="gramStart"/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 xml:space="preserve"> Queensland:</w:t>
            </w:r>
          </w:p>
          <w:p w14:paraId="30E7930C" w14:textId="77777777" w:rsidR="00E20348" w:rsidRPr="005C7A7A" w:rsidRDefault="00E20348" w:rsidP="005E1336">
            <w:pPr>
              <w:pStyle w:val="ListParagraph"/>
              <w:numPr>
                <w:ilvl w:val="0"/>
                <w:numId w:val="23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Bus</w:t>
            </w:r>
          </w:p>
          <w:p w14:paraId="3F0102DC" w14:textId="77777777" w:rsidR="00E20348" w:rsidRPr="005C7A7A" w:rsidRDefault="00E20348" w:rsidP="005E1336">
            <w:pPr>
              <w:pStyle w:val="ListParagraph"/>
              <w:numPr>
                <w:ilvl w:val="0"/>
                <w:numId w:val="23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Rail</w:t>
            </w:r>
          </w:p>
          <w:p w14:paraId="24D7810C" w14:textId="77777777" w:rsidR="00E20348" w:rsidRPr="005C7A7A" w:rsidRDefault="00E20348" w:rsidP="005E1336">
            <w:pPr>
              <w:pStyle w:val="ListParagraph"/>
              <w:numPr>
                <w:ilvl w:val="0"/>
                <w:numId w:val="23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Tram </w:t>
            </w:r>
          </w:p>
          <w:p w14:paraId="7A7E7C01" w14:textId="77777777" w:rsidR="00E20348" w:rsidRPr="005C7A7A" w:rsidRDefault="00E20348" w:rsidP="005E1336">
            <w:pPr>
              <w:pStyle w:val="ListParagraph"/>
              <w:numPr>
                <w:ilvl w:val="0"/>
                <w:numId w:val="23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Ferry</w:t>
            </w:r>
          </w:p>
          <w:p w14:paraId="6168199D" w14:textId="77777777" w:rsidR="00E20348" w:rsidRPr="005C7A7A" w:rsidRDefault="00E20348" w:rsidP="005E1336">
            <w:p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Rest of Queensland:</w:t>
            </w:r>
          </w:p>
          <w:p w14:paraId="71AB818F" w14:textId="77777777" w:rsidR="00E20348" w:rsidRPr="005C7A7A" w:rsidRDefault="00E20348" w:rsidP="005E1336">
            <w:pPr>
              <w:pStyle w:val="ListParagraph"/>
              <w:numPr>
                <w:ilvl w:val="0"/>
                <w:numId w:val="24"/>
              </w:num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Regional air</w:t>
            </w:r>
          </w:p>
          <w:p w14:paraId="5B964FDF" w14:textId="77777777" w:rsidR="00E20348" w:rsidRPr="005C7A7A" w:rsidRDefault="00E20348" w:rsidP="005E1336">
            <w:pPr>
              <w:pStyle w:val="ListParagraph"/>
              <w:numPr>
                <w:ilvl w:val="0"/>
                <w:numId w:val="24"/>
              </w:num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Long distance bus</w:t>
            </w:r>
          </w:p>
          <w:p w14:paraId="308300D8" w14:textId="77777777" w:rsidR="00E20348" w:rsidRPr="005C7A7A" w:rsidRDefault="00E20348" w:rsidP="005E1336">
            <w:pPr>
              <w:pStyle w:val="ListParagraph"/>
              <w:numPr>
                <w:ilvl w:val="0"/>
                <w:numId w:val="24"/>
              </w:num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Regional urban bus</w:t>
            </w:r>
          </w:p>
          <w:p w14:paraId="4DE8D0D5" w14:textId="77777777" w:rsidR="00E20348" w:rsidRPr="005C7A7A" w:rsidRDefault="00E20348" w:rsidP="005E1336">
            <w:pPr>
              <w:pStyle w:val="ListParagraph"/>
              <w:numPr>
                <w:ilvl w:val="0"/>
                <w:numId w:val="24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proofErr w:type="spellStart"/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Traveltrain</w:t>
            </w:r>
            <w:proofErr w:type="spellEnd"/>
          </w:p>
          <w:p w14:paraId="1453703C" w14:textId="17A91DCC" w:rsidR="00E20348" w:rsidRPr="005C7A7A" w:rsidRDefault="00E20348" w:rsidP="005E1336">
            <w:pPr>
              <w:pStyle w:val="ListParagraph"/>
              <w:numPr>
                <w:ilvl w:val="0"/>
                <w:numId w:val="24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Regional ferry</w:t>
            </w:r>
          </w:p>
        </w:tc>
      </w:tr>
      <w:tr w:rsidR="00E20348" w:rsidRPr="005C7A7A" w14:paraId="14312565" w14:textId="77777777" w:rsidTr="00205219">
        <w:trPr>
          <w:trHeight w:val="397"/>
        </w:trPr>
        <w:tc>
          <w:tcPr>
            <w:tcW w:w="10314" w:type="dxa"/>
          </w:tcPr>
          <w:p w14:paraId="35F3501D" w14:textId="09BD3B8F" w:rsidR="00E20348" w:rsidRPr="005C7A7A" w:rsidRDefault="00E20348" w:rsidP="005E1336">
            <w:pPr>
              <w:rPr>
                <w:rFonts w:ascii="Noto Sans" w:hAnsi="Noto Sans" w:cs="Noto Sans"/>
                <w:bCs/>
                <w:sz w:val="22"/>
                <w:szCs w:val="22"/>
              </w:rPr>
            </w:pPr>
            <w:proofErr w:type="gramStart"/>
            <w:r w:rsidRPr="005C7A7A">
              <w:rPr>
                <w:rFonts w:ascii="Noto Sans" w:hAnsi="Noto Sans" w:cs="Noto Sans"/>
                <w:bCs/>
                <w:sz w:val="22"/>
                <w:szCs w:val="22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bCs/>
                <w:sz w:val="22"/>
                <w:szCs w:val="22"/>
              </w:rPr>
              <w:t xml:space="preserve"> Queensland patronage per capita</w:t>
            </w:r>
          </w:p>
        </w:tc>
      </w:tr>
      <w:tr w:rsidR="00205219" w:rsidRPr="005C7A7A" w14:paraId="065AFDEA" w14:textId="77777777" w:rsidTr="00205219">
        <w:trPr>
          <w:trHeight w:val="521"/>
        </w:trPr>
        <w:tc>
          <w:tcPr>
            <w:tcW w:w="10314" w:type="dxa"/>
            <w:shd w:val="clear" w:color="auto" w:fill="005EB8"/>
            <w:vAlign w:val="center"/>
          </w:tcPr>
          <w:p w14:paraId="5571B5DF" w14:textId="30DC287C" w:rsidR="00205219" w:rsidRPr="005C7A7A" w:rsidRDefault="00205219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Performance indicator: Customer experiences</w:t>
            </w:r>
          </w:p>
        </w:tc>
      </w:tr>
      <w:tr w:rsidR="00205219" w:rsidRPr="005C7A7A" w14:paraId="7D1C3EA0" w14:textId="77777777" w:rsidTr="00205219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6BCB9B93" w14:textId="5D59BEE9" w:rsidR="00205219" w:rsidRPr="005C7A7A" w:rsidRDefault="00064338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 xml:space="preserve">Strategic </w:t>
            </w:r>
            <w:r>
              <w:rPr>
                <w:rFonts w:ascii="Noto Sans" w:hAnsi="Noto Sans" w:cs="Noto Sans"/>
                <w:color w:val="auto"/>
                <w:sz w:val="22"/>
                <w:szCs w:val="22"/>
              </w:rPr>
              <w:t>Plan M</w:t>
            </w: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>easures</w:t>
            </w:r>
          </w:p>
        </w:tc>
      </w:tr>
      <w:tr w:rsidR="00E20348" w:rsidRPr="005C7A7A" w14:paraId="40156AD1" w14:textId="77777777" w:rsidTr="00205219">
        <w:trPr>
          <w:trHeight w:val="624"/>
        </w:trPr>
        <w:tc>
          <w:tcPr>
            <w:tcW w:w="10314" w:type="dxa"/>
          </w:tcPr>
          <w:p w14:paraId="45637503" w14:textId="0601A0FC" w:rsidR="00E20348" w:rsidRPr="005C7A7A" w:rsidRDefault="00E20348" w:rsidP="005E1336">
            <w:p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Customer experience rating: Accessibility of the stop/station/terminal (</w:t>
            </w:r>
            <w:proofErr w:type="gramStart"/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 xml:space="preserve"> Queensland – bus, t</w:t>
            </w: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rain, tram, ferry)</w:t>
            </w:r>
          </w:p>
        </w:tc>
      </w:tr>
      <w:tr w:rsidR="00E20348" w:rsidRPr="005C7A7A" w14:paraId="0BF2A5ED" w14:textId="77777777" w:rsidTr="00205219">
        <w:trPr>
          <w:trHeight w:val="624"/>
        </w:trPr>
        <w:tc>
          <w:tcPr>
            <w:tcW w:w="10314" w:type="dxa"/>
          </w:tcPr>
          <w:p w14:paraId="6E39C874" w14:textId="0EE259B9" w:rsidR="00E20348" w:rsidRPr="005C7A7A" w:rsidRDefault="00E20348" w:rsidP="005E1336">
            <w:p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Customer experience rating: Availability of information needed to complete your trip</w:t>
            </w:r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 xml:space="preserve"> (</w:t>
            </w:r>
            <w:proofErr w:type="gramStart"/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 xml:space="preserve"> Queensland – bus, t</w:t>
            </w: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rain, tram, ferry)</w:t>
            </w:r>
          </w:p>
        </w:tc>
      </w:tr>
      <w:tr w:rsidR="00E20348" w:rsidRPr="005C7A7A" w14:paraId="1ADAAB7C" w14:textId="77777777" w:rsidTr="00205219">
        <w:trPr>
          <w:trHeight w:val="567"/>
        </w:trPr>
        <w:tc>
          <w:tcPr>
            <w:tcW w:w="10314" w:type="dxa"/>
          </w:tcPr>
          <w:p w14:paraId="25AAD585" w14:textId="77777777" w:rsidR="00E20348" w:rsidRPr="005C7A7A" w:rsidRDefault="00E20348" w:rsidP="005E1336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Customer experience ratings of public transport service by type (on a scale of 1 to 5):</w:t>
            </w:r>
          </w:p>
          <w:p w14:paraId="25CE0F9B" w14:textId="77777777" w:rsidR="00E20348" w:rsidRPr="005C7A7A" w:rsidRDefault="00E20348" w:rsidP="005E1336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proofErr w:type="gramStart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 Queensland bus</w:t>
            </w:r>
          </w:p>
          <w:p w14:paraId="6D39814D" w14:textId="77777777" w:rsidR="00E20348" w:rsidRPr="005C7A7A" w:rsidRDefault="00E20348" w:rsidP="005E1336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proofErr w:type="gramStart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 Queensland rail</w:t>
            </w:r>
          </w:p>
          <w:p w14:paraId="52225890" w14:textId="77777777" w:rsidR="00E20348" w:rsidRPr="005C7A7A" w:rsidRDefault="00E20348" w:rsidP="005E1336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proofErr w:type="gramStart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 Queensland ferry</w:t>
            </w:r>
          </w:p>
          <w:p w14:paraId="3F38BE8A" w14:textId="77777777" w:rsidR="00E20348" w:rsidRPr="005C7A7A" w:rsidRDefault="00E20348" w:rsidP="005E1336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Noto Sans" w:hAnsi="Noto Sans" w:cs="Noto Sans"/>
                <w:sz w:val="22"/>
                <w:szCs w:val="22"/>
              </w:rPr>
            </w:pPr>
            <w:proofErr w:type="gramStart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 Queensland tram</w:t>
            </w:r>
          </w:p>
          <w:p w14:paraId="44C0448B" w14:textId="422FCF83" w:rsidR="00E20348" w:rsidRPr="005C7A7A" w:rsidRDefault="00E20348" w:rsidP="005E1336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Regional urban bus</w:t>
            </w:r>
          </w:p>
        </w:tc>
      </w:tr>
    </w:tbl>
    <w:p w14:paraId="69460315" w14:textId="324D1F30" w:rsidR="007F2D8B" w:rsidRPr="00205219" w:rsidRDefault="007F2D8B" w:rsidP="00205219">
      <w:pPr>
        <w:pStyle w:val="Heading1"/>
        <w:spacing w:before="240"/>
        <w:rPr>
          <w:rFonts w:ascii="Noto Sans" w:hAnsi="Noto Sans" w:cs="Noto Sans"/>
          <w:color w:val="005EB8"/>
          <w:sz w:val="28"/>
          <w:szCs w:val="22"/>
        </w:rPr>
      </w:pPr>
      <w:r w:rsidRPr="00205219">
        <w:rPr>
          <w:rFonts w:ascii="Noto Sans" w:hAnsi="Noto Sans" w:cs="Noto Sans"/>
          <w:color w:val="005EB8"/>
          <w:sz w:val="28"/>
          <w:szCs w:val="22"/>
        </w:rPr>
        <w:lastRenderedPageBreak/>
        <w:t xml:space="preserve">Safe and secure: </w:t>
      </w:r>
      <w:r w:rsidR="006218C3" w:rsidRPr="00205219">
        <w:rPr>
          <w:rFonts w:ascii="Noto Sans" w:hAnsi="Noto Sans" w:cs="Noto Sans"/>
          <w:color w:val="005EB8"/>
          <w:sz w:val="28"/>
          <w:szCs w:val="22"/>
        </w:rPr>
        <w:t>A transport system that is safe and secure</w:t>
      </w:r>
    </w:p>
    <w:tbl>
      <w:tblPr>
        <w:tblStyle w:val="TableGrid"/>
        <w:tblW w:w="10314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205219" w:rsidRPr="005C7A7A" w14:paraId="739DF561" w14:textId="77777777" w:rsidTr="00575C20">
        <w:trPr>
          <w:trHeight w:val="454"/>
        </w:trPr>
        <w:tc>
          <w:tcPr>
            <w:tcW w:w="10314" w:type="dxa"/>
            <w:shd w:val="clear" w:color="auto" w:fill="005EB8"/>
            <w:vAlign w:val="center"/>
          </w:tcPr>
          <w:p w14:paraId="3892D263" w14:textId="0592E831" w:rsidR="00205219" w:rsidRPr="005C7A7A" w:rsidRDefault="00205219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Performance indicator: Safe transport system</w:t>
            </w:r>
          </w:p>
        </w:tc>
      </w:tr>
      <w:tr w:rsidR="00205219" w:rsidRPr="005C7A7A" w14:paraId="3AC25E24" w14:textId="77777777" w:rsidTr="00575C20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0DDB8D24" w14:textId="65208CA5" w:rsidR="00205219" w:rsidRPr="005C7A7A" w:rsidRDefault="00064338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 xml:space="preserve">Strategic </w:t>
            </w:r>
            <w:r>
              <w:rPr>
                <w:rFonts w:ascii="Noto Sans" w:hAnsi="Noto Sans" w:cs="Noto Sans"/>
                <w:color w:val="auto"/>
                <w:sz w:val="22"/>
                <w:szCs w:val="22"/>
              </w:rPr>
              <w:t>Plan M</w:t>
            </w: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>easures</w:t>
            </w:r>
          </w:p>
        </w:tc>
      </w:tr>
      <w:tr w:rsidR="00205219" w:rsidRPr="005C7A7A" w14:paraId="1869D0FF" w14:textId="77777777" w:rsidTr="00205219">
        <w:trPr>
          <w:trHeight w:val="283"/>
        </w:trPr>
        <w:tc>
          <w:tcPr>
            <w:tcW w:w="10314" w:type="dxa"/>
          </w:tcPr>
          <w:p w14:paraId="06A66519" w14:textId="167F8904" w:rsidR="00205219" w:rsidRPr="005C7A7A" w:rsidRDefault="00205219" w:rsidP="00911E89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Number of fatal crashes on state-controlled roads per 100 million vehicle kilometres travelled where the road condition was likely to be a contributing factor </w:t>
            </w:r>
          </w:p>
        </w:tc>
      </w:tr>
      <w:tr w:rsidR="00205219" w:rsidRPr="005C7A7A" w14:paraId="759376E6" w14:textId="77777777" w:rsidTr="00205219">
        <w:trPr>
          <w:trHeight w:val="340"/>
        </w:trPr>
        <w:tc>
          <w:tcPr>
            <w:tcW w:w="10314" w:type="dxa"/>
          </w:tcPr>
          <w:p w14:paraId="44F34701" w14:textId="38690638" w:rsidR="00205219" w:rsidRPr="005C7A7A" w:rsidRDefault="00205219" w:rsidP="00911E89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Fatalities per 100,000 population on state-controlled roads</w:t>
            </w:r>
          </w:p>
        </w:tc>
      </w:tr>
      <w:tr w:rsidR="00205219" w:rsidRPr="005C7A7A" w14:paraId="62855BF9" w14:textId="77777777" w:rsidTr="00205219">
        <w:trPr>
          <w:trHeight w:val="340"/>
        </w:trPr>
        <w:tc>
          <w:tcPr>
            <w:tcW w:w="10314" w:type="dxa"/>
          </w:tcPr>
          <w:p w14:paraId="43AA81B4" w14:textId="17BFC665" w:rsidR="00205219" w:rsidRPr="005C7A7A" w:rsidRDefault="00205219" w:rsidP="00911E89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Road fatalities per 100,000 population</w:t>
            </w:r>
          </w:p>
        </w:tc>
      </w:tr>
      <w:tr w:rsidR="00205219" w:rsidRPr="005C7A7A" w14:paraId="2A2322AF" w14:textId="77777777" w:rsidTr="00205219">
        <w:trPr>
          <w:trHeight w:val="340"/>
        </w:trPr>
        <w:tc>
          <w:tcPr>
            <w:tcW w:w="10314" w:type="dxa"/>
          </w:tcPr>
          <w:p w14:paraId="02B809D4" w14:textId="7091618E" w:rsidR="00205219" w:rsidRPr="005C7A7A" w:rsidRDefault="00205219" w:rsidP="00911E89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Hospitalised road casualties per 100,000 population</w:t>
            </w:r>
          </w:p>
        </w:tc>
      </w:tr>
      <w:tr w:rsidR="00205219" w:rsidRPr="005C7A7A" w14:paraId="1B570FF3" w14:textId="77777777" w:rsidTr="00205219">
        <w:trPr>
          <w:trHeight w:val="340"/>
        </w:trPr>
        <w:tc>
          <w:tcPr>
            <w:tcW w:w="10314" w:type="dxa"/>
          </w:tcPr>
          <w:p w14:paraId="7C8D4979" w14:textId="723D0B20" w:rsidR="00205219" w:rsidRPr="005C7A7A" w:rsidRDefault="00205219" w:rsidP="00911E89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Marine fatalities per 100,000 registered vessels regulated in Queensland</w:t>
            </w:r>
          </w:p>
        </w:tc>
      </w:tr>
      <w:tr w:rsidR="00205219" w:rsidRPr="005C7A7A" w14:paraId="01CE80D0" w14:textId="77777777" w:rsidTr="00205219">
        <w:trPr>
          <w:trHeight w:val="283"/>
        </w:trPr>
        <w:tc>
          <w:tcPr>
            <w:tcW w:w="10314" w:type="dxa"/>
          </w:tcPr>
          <w:p w14:paraId="03F4083A" w14:textId="78649B4F" w:rsidR="00205219" w:rsidRPr="005C7A7A" w:rsidRDefault="00205219" w:rsidP="00911E89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Percentage of vessel movements without serious incidents:</w:t>
            </w:r>
          </w:p>
          <w:p w14:paraId="16112D50" w14:textId="77777777" w:rsidR="00205219" w:rsidRPr="005C7A7A" w:rsidRDefault="00205219" w:rsidP="00715B0F">
            <w:pPr>
              <w:pStyle w:val="ListParagraph"/>
              <w:numPr>
                <w:ilvl w:val="0"/>
                <w:numId w:val="26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Pilotage areas </w:t>
            </w:r>
          </w:p>
          <w:p w14:paraId="0FDD7BE8" w14:textId="4EF37B38" w:rsidR="00205219" w:rsidRPr="005C7A7A" w:rsidRDefault="00205219" w:rsidP="00715B0F">
            <w:pPr>
              <w:pStyle w:val="ListParagraph"/>
              <w:numPr>
                <w:ilvl w:val="0"/>
                <w:numId w:val="26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proofErr w:type="spellStart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ReefVTS</w:t>
            </w:r>
            <w:proofErr w:type="spellEnd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 area</w:t>
            </w:r>
          </w:p>
        </w:tc>
      </w:tr>
      <w:tr w:rsidR="00205219" w:rsidRPr="005C7A7A" w14:paraId="082CBFB8" w14:textId="77777777" w:rsidTr="00205219">
        <w:trPr>
          <w:trHeight w:val="534"/>
        </w:trPr>
        <w:tc>
          <w:tcPr>
            <w:tcW w:w="10314" w:type="dxa"/>
          </w:tcPr>
          <w:p w14:paraId="7C960608" w14:textId="3031C3F1" w:rsidR="00205219" w:rsidRPr="005C7A7A" w:rsidRDefault="00205219" w:rsidP="009858B8">
            <w:p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Customer experience rating: Feeling safe on board </w:t>
            </w:r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(</w:t>
            </w:r>
            <w:proofErr w:type="gramStart"/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 xml:space="preserve"> Queensland – bus, t</w:t>
            </w: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rain, tram, ferry)</w:t>
            </w:r>
          </w:p>
        </w:tc>
      </w:tr>
    </w:tbl>
    <w:p w14:paraId="6B8A9E23" w14:textId="77777777" w:rsidR="000254E1" w:rsidRDefault="000254E1" w:rsidP="005040E8">
      <w:pPr>
        <w:pStyle w:val="BodyText"/>
        <w:rPr>
          <w:rFonts w:ascii="Noto Sans" w:hAnsi="Noto Sans" w:cs="Noto Sans"/>
          <w:sz w:val="20"/>
          <w:szCs w:val="20"/>
        </w:rPr>
      </w:pPr>
    </w:p>
    <w:p w14:paraId="4998409B" w14:textId="50764C0F" w:rsidR="00304C64" w:rsidRPr="00205219" w:rsidRDefault="00304C64" w:rsidP="00205219">
      <w:pPr>
        <w:pStyle w:val="Heading1"/>
        <w:spacing w:before="240"/>
        <w:rPr>
          <w:rFonts w:ascii="Noto Sans" w:hAnsi="Noto Sans" w:cs="Noto Sans"/>
          <w:color w:val="005EB8"/>
          <w:sz w:val="28"/>
          <w:szCs w:val="22"/>
        </w:rPr>
      </w:pPr>
      <w:r w:rsidRPr="00205219">
        <w:rPr>
          <w:rFonts w:ascii="Noto Sans" w:hAnsi="Noto Sans" w:cs="Noto Sans"/>
          <w:color w:val="005EB8"/>
          <w:sz w:val="28"/>
          <w:szCs w:val="22"/>
        </w:rPr>
        <w:t xml:space="preserve">Efficient and productive: </w:t>
      </w:r>
      <w:r w:rsidR="005E5517" w:rsidRPr="00205219">
        <w:rPr>
          <w:rFonts w:ascii="Noto Sans" w:hAnsi="Noto Sans" w:cs="Noto Sans"/>
          <w:color w:val="005EB8"/>
          <w:sz w:val="28"/>
          <w:szCs w:val="22"/>
        </w:rPr>
        <w:t>A transport system that enables economic prosperity</w:t>
      </w:r>
    </w:p>
    <w:tbl>
      <w:tblPr>
        <w:tblStyle w:val="TableGrid"/>
        <w:tblW w:w="10314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205219" w:rsidRPr="005C7A7A" w14:paraId="2CEC5C06" w14:textId="77777777" w:rsidTr="00575C20">
        <w:trPr>
          <w:trHeight w:val="454"/>
        </w:trPr>
        <w:tc>
          <w:tcPr>
            <w:tcW w:w="10314" w:type="dxa"/>
            <w:shd w:val="clear" w:color="auto" w:fill="005EB8"/>
            <w:vAlign w:val="center"/>
          </w:tcPr>
          <w:p w14:paraId="5B1E1A86" w14:textId="030E111F" w:rsidR="00205219" w:rsidRPr="00004F2C" w:rsidRDefault="00205219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Performance indicator: Asset </w:t>
            </w:r>
            <w:proofErr w:type="spellStart"/>
            <w:r w:rsidR="003F3F79" w:rsidRPr="00004F2C">
              <w:rPr>
                <w:rFonts w:ascii="Noto Sans" w:hAnsi="Noto Sans" w:cs="Noto Sans"/>
                <w:sz w:val="22"/>
                <w:szCs w:val="22"/>
              </w:rPr>
              <w:t>optimisation</w:t>
            </w:r>
            <w:proofErr w:type="spellEnd"/>
          </w:p>
        </w:tc>
      </w:tr>
      <w:tr w:rsidR="00205219" w:rsidRPr="005C7A7A" w14:paraId="6268B4DC" w14:textId="77777777" w:rsidTr="00575C20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029327C0" w14:textId="6F64881E" w:rsidR="00205219" w:rsidRPr="00004F2C" w:rsidRDefault="00064338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004F2C">
              <w:rPr>
                <w:rFonts w:ascii="Noto Sans" w:hAnsi="Noto Sans" w:cs="Noto Sans"/>
                <w:color w:val="auto"/>
                <w:sz w:val="22"/>
                <w:szCs w:val="22"/>
              </w:rPr>
              <w:t>Strategic Plan Measures</w:t>
            </w:r>
          </w:p>
        </w:tc>
      </w:tr>
      <w:tr w:rsidR="00205219" w:rsidRPr="005C7A7A" w14:paraId="627613FC" w14:textId="77777777" w:rsidTr="00205219">
        <w:trPr>
          <w:trHeight w:val="624"/>
        </w:trPr>
        <w:tc>
          <w:tcPr>
            <w:tcW w:w="10314" w:type="dxa"/>
          </w:tcPr>
          <w:p w14:paraId="59AEADBC" w14:textId="34D05954" w:rsidR="00205219" w:rsidRPr="00004F2C" w:rsidRDefault="00205219" w:rsidP="00E04090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>Urban road system condition – the percentage of urban state-controlled roads with condition better than the specified benchmark</w:t>
            </w:r>
          </w:p>
        </w:tc>
      </w:tr>
      <w:tr w:rsidR="00205219" w:rsidRPr="005C7A7A" w14:paraId="65419083" w14:textId="77777777" w:rsidTr="00205219">
        <w:trPr>
          <w:trHeight w:val="624"/>
        </w:trPr>
        <w:tc>
          <w:tcPr>
            <w:tcW w:w="10314" w:type="dxa"/>
          </w:tcPr>
          <w:p w14:paraId="3598A373" w14:textId="6D06223A" w:rsidR="00205219" w:rsidRPr="00004F2C" w:rsidRDefault="00205219" w:rsidP="00E04090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>Rural road system condition – the percentage of rural state-controlled roads with condition better than the specified benchmark</w:t>
            </w:r>
          </w:p>
        </w:tc>
      </w:tr>
      <w:tr w:rsidR="00205219" w:rsidRPr="005C7A7A" w14:paraId="43EFEC05" w14:textId="77777777" w:rsidTr="00205219">
        <w:trPr>
          <w:trHeight w:val="624"/>
        </w:trPr>
        <w:tc>
          <w:tcPr>
            <w:tcW w:w="10314" w:type="dxa"/>
          </w:tcPr>
          <w:p w14:paraId="4C873719" w14:textId="0F091C32" w:rsidR="00205219" w:rsidRPr="00004F2C" w:rsidRDefault="00205219" w:rsidP="00E04090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>Road ride quality – Traffic weighted roughness (percentage of the network in very poor/poor condition)</w:t>
            </w:r>
          </w:p>
        </w:tc>
      </w:tr>
      <w:tr w:rsidR="00205219" w:rsidRPr="005C7A7A" w14:paraId="353056EB" w14:textId="77777777" w:rsidTr="00575C20">
        <w:trPr>
          <w:trHeight w:val="454"/>
        </w:trPr>
        <w:tc>
          <w:tcPr>
            <w:tcW w:w="10314" w:type="dxa"/>
            <w:shd w:val="clear" w:color="auto" w:fill="005EB8"/>
            <w:vAlign w:val="center"/>
          </w:tcPr>
          <w:p w14:paraId="294AC9E6" w14:textId="4DB37F71" w:rsidR="00205219" w:rsidRPr="00004F2C" w:rsidRDefault="00205219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Performance indicator: Service </w:t>
            </w:r>
            <w:r w:rsidR="0055096F" w:rsidRPr="00004F2C">
              <w:rPr>
                <w:rFonts w:ascii="Noto Sans" w:hAnsi="Noto Sans" w:cs="Noto Sans"/>
                <w:sz w:val="22"/>
                <w:szCs w:val="22"/>
              </w:rPr>
              <w:t>efficiency</w:t>
            </w:r>
          </w:p>
        </w:tc>
      </w:tr>
      <w:tr w:rsidR="00205219" w:rsidRPr="005C7A7A" w14:paraId="3AD8D869" w14:textId="77777777" w:rsidTr="00575C20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1A835176" w14:textId="2BFF0BD6" w:rsidR="00205219" w:rsidRPr="005C7A7A" w:rsidRDefault="00064338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 xml:space="preserve">Strategic </w:t>
            </w:r>
            <w:r>
              <w:rPr>
                <w:rFonts w:ascii="Noto Sans" w:hAnsi="Noto Sans" w:cs="Noto Sans"/>
                <w:color w:val="auto"/>
                <w:sz w:val="22"/>
                <w:szCs w:val="22"/>
              </w:rPr>
              <w:t>Plan M</w:t>
            </w: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>easures</w:t>
            </w:r>
          </w:p>
        </w:tc>
      </w:tr>
      <w:tr w:rsidR="00205219" w:rsidRPr="005C7A7A" w14:paraId="6A28C890" w14:textId="77777777" w:rsidTr="00205219">
        <w:trPr>
          <w:trHeight w:val="331"/>
        </w:trPr>
        <w:tc>
          <w:tcPr>
            <w:tcW w:w="10314" w:type="dxa"/>
          </w:tcPr>
          <w:p w14:paraId="4F250A86" w14:textId="77777777" w:rsidR="00205219" w:rsidRPr="005C7A7A" w:rsidRDefault="00205219" w:rsidP="005C243A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proofErr w:type="gramStart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 Queensland road network efficiency – Average travel time (minutes) per 10km:</w:t>
            </w:r>
          </w:p>
          <w:p w14:paraId="5B11922A" w14:textId="77777777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AM peak</w:t>
            </w:r>
          </w:p>
          <w:p w14:paraId="34B9FA8C" w14:textId="77777777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Off peak </w:t>
            </w:r>
          </w:p>
          <w:p w14:paraId="761C6739" w14:textId="1BCA2353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PM peak</w:t>
            </w:r>
          </w:p>
        </w:tc>
      </w:tr>
      <w:tr w:rsidR="00205219" w:rsidRPr="005C7A7A" w14:paraId="7292D458" w14:textId="77777777" w:rsidTr="00205219">
        <w:trPr>
          <w:trHeight w:val="331"/>
        </w:trPr>
        <w:tc>
          <w:tcPr>
            <w:tcW w:w="10314" w:type="dxa"/>
          </w:tcPr>
          <w:p w14:paraId="7ADA9880" w14:textId="77777777" w:rsidR="00205219" w:rsidRPr="005C7A7A" w:rsidRDefault="00205219" w:rsidP="005C243A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proofErr w:type="gramStart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 Queensland road network reliability – Percentage of the road network with reliable travel times:</w:t>
            </w:r>
          </w:p>
          <w:p w14:paraId="2F195984" w14:textId="77777777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AM peak</w:t>
            </w:r>
          </w:p>
          <w:p w14:paraId="7BBBC2D3" w14:textId="77777777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Off peak </w:t>
            </w:r>
          </w:p>
          <w:p w14:paraId="298016E1" w14:textId="48979F01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PM peak</w:t>
            </w:r>
          </w:p>
        </w:tc>
      </w:tr>
      <w:tr w:rsidR="00205219" w:rsidRPr="005C7A7A" w14:paraId="54A13509" w14:textId="77777777" w:rsidTr="00205219">
        <w:trPr>
          <w:trHeight w:val="331"/>
        </w:trPr>
        <w:tc>
          <w:tcPr>
            <w:tcW w:w="10314" w:type="dxa"/>
          </w:tcPr>
          <w:p w14:paraId="64FF17F3" w14:textId="77777777" w:rsidR="00205219" w:rsidRPr="005C7A7A" w:rsidRDefault="00205219" w:rsidP="005C243A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proofErr w:type="gramStart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 Queensland road network productivity – Percentage of the road network with good productivity: </w:t>
            </w:r>
          </w:p>
          <w:p w14:paraId="2946B299" w14:textId="77777777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AM peak</w:t>
            </w:r>
          </w:p>
          <w:p w14:paraId="5B98E0E0" w14:textId="77777777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Off peak </w:t>
            </w:r>
          </w:p>
          <w:p w14:paraId="17F8A143" w14:textId="59ACF752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lastRenderedPageBreak/>
              <w:t>PM peak</w:t>
            </w:r>
          </w:p>
        </w:tc>
      </w:tr>
      <w:tr w:rsidR="00205219" w:rsidRPr="005C7A7A" w14:paraId="3C89DF5A" w14:textId="77777777" w:rsidTr="00205219">
        <w:trPr>
          <w:trHeight w:val="331"/>
        </w:trPr>
        <w:tc>
          <w:tcPr>
            <w:tcW w:w="10314" w:type="dxa"/>
          </w:tcPr>
          <w:p w14:paraId="202F2EC9" w14:textId="77777777" w:rsidR="00205219" w:rsidRPr="005C7A7A" w:rsidRDefault="00205219" w:rsidP="005C243A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proofErr w:type="gramStart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lastRenderedPageBreak/>
              <w:t>South East</w:t>
            </w:r>
            <w:proofErr w:type="gramEnd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 Queensland arterial intersection performance – Percentage of intersections congested less than 20 minutes per hour:</w:t>
            </w:r>
          </w:p>
          <w:p w14:paraId="4D229E60" w14:textId="77777777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AM peak</w:t>
            </w:r>
          </w:p>
          <w:p w14:paraId="60F0A253" w14:textId="77777777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Off peak </w:t>
            </w:r>
          </w:p>
          <w:p w14:paraId="0F538742" w14:textId="1F823324" w:rsidR="00205219" w:rsidRPr="005C7A7A" w:rsidRDefault="00205219" w:rsidP="005C243A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PM peak</w:t>
            </w:r>
          </w:p>
        </w:tc>
      </w:tr>
      <w:tr w:rsidR="00205219" w:rsidRPr="005C7A7A" w14:paraId="17E9F76C" w14:textId="77777777" w:rsidTr="00205219">
        <w:trPr>
          <w:trHeight w:val="331"/>
        </w:trPr>
        <w:tc>
          <w:tcPr>
            <w:tcW w:w="10314" w:type="dxa"/>
          </w:tcPr>
          <w:p w14:paraId="64C56E28" w14:textId="44C5CA1A" w:rsidR="00205219" w:rsidRPr="005C7A7A" w:rsidRDefault="00205219" w:rsidP="005C243A">
            <w:p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Average cost per 100 vehicle kilometres travelled to operate state-controlled roads</w:t>
            </w:r>
          </w:p>
        </w:tc>
      </w:tr>
      <w:tr w:rsidR="00205219" w:rsidRPr="005C7A7A" w14:paraId="427DCAB7" w14:textId="77777777" w:rsidTr="00205219">
        <w:trPr>
          <w:trHeight w:val="331"/>
        </w:trPr>
        <w:tc>
          <w:tcPr>
            <w:tcW w:w="10314" w:type="dxa"/>
          </w:tcPr>
          <w:p w14:paraId="38F542D2" w14:textId="7AF7C55D" w:rsidR="00205219" w:rsidRPr="005C7A7A" w:rsidRDefault="00205219" w:rsidP="005C243A">
            <w:p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Administrative cost to plan and develop the Queensland Transport and Roads Investment Program (QTRIP) per $1,000 of the overall value of the program </w:t>
            </w:r>
          </w:p>
        </w:tc>
      </w:tr>
      <w:tr w:rsidR="00205219" w:rsidRPr="005C7A7A" w14:paraId="06A0610C" w14:textId="77777777" w:rsidTr="00205219">
        <w:trPr>
          <w:trHeight w:val="331"/>
        </w:trPr>
        <w:tc>
          <w:tcPr>
            <w:tcW w:w="10314" w:type="dxa"/>
          </w:tcPr>
          <w:p w14:paraId="0F82976C" w14:textId="6C0600BE" w:rsidR="00205219" w:rsidRPr="005C7A7A" w:rsidRDefault="00205219" w:rsidP="00E04090">
            <w:p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Administrative cost of delivering the Queensland Transport and Roads Investment Program (QTRIP) per $1,000 of the QTRIP published budget </w:t>
            </w:r>
          </w:p>
        </w:tc>
      </w:tr>
      <w:tr w:rsidR="00205219" w:rsidRPr="005C7A7A" w14:paraId="14EFB737" w14:textId="77777777" w:rsidTr="00205219">
        <w:trPr>
          <w:trHeight w:val="331"/>
        </w:trPr>
        <w:tc>
          <w:tcPr>
            <w:tcW w:w="10314" w:type="dxa"/>
          </w:tcPr>
          <w:p w14:paraId="5EEC78AE" w14:textId="40542AD8" w:rsidR="00205219" w:rsidRPr="005C7A7A" w:rsidRDefault="00205219" w:rsidP="00E04090">
            <w:p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Direct operational cost of Vessel Traffic Services per monitored vessel movement </w:t>
            </w:r>
          </w:p>
        </w:tc>
      </w:tr>
      <w:tr w:rsidR="00205219" w:rsidRPr="005C7A7A" w14:paraId="1A264B2D" w14:textId="77777777" w:rsidTr="00205219">
        <w:trPr>
          <w:trHeight w:val="397"/>
        </w:trPr>
        <w:tc>
          <w:tcPr>
            <w:tcW w:w="10314" w:type="dxa"/>
          </w:tcPr>
          <w:p w14:paraId="27CEA237" w14:textId="11C7AD2C" w:rsidR="00205219" w:rsidRPr="005C7A7A" w:rsidRDefault="00205219" w:rsidP="00E04090">
            <w:p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Average cost per customer interaction – Translink Contact Centre</w:t>
            </w:r>
          </w:p>
        </w:tc>
      </w:tr>
      <w:tr w:rsidR="00205219" w:rsidRPr="00004F2C" w14:paraId="3CE7B54B" w14:textId="77777777" w:rsidTr="00205219">
        <w:trPr>
          <w:trHeight w:val="331"/>
        </w:trPr>
        <w:tc>
          <w:tcPr>
            <w:tcW w:w="10314" w:type="dxa"/>
          </w:tcPr>
          <w:p w14:paraId="7BF343F3" w14:textId="1DDC2F64" w:rsidR="00205219" w:rsidRPr="00004F2C" w:rsidRDefault="00205219" w:rsidP="00E04090">
            <w:pPr>
              <w:rPr>
                <w:rFonts w:ascii="Noto Sans" w:hAnsi="Noto Sans" w:cs="Noto Sans"/>
                <w:sz w:val="22"/>
                <w:szCs w:val="22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>Cost per passenger trip to administer statewide government contracted passenger transport services</w:t>
            </w:r>
          </w:p>
        </w:tc>
      </w:tr>
      <w:tr w:rsidR="0052037F" w:rsidRPr="00004F2C" w14:paraId="1D98A155" w14:textId="77777777" w:rsidTr="00205219">
        <w:trPr>
          <w:trHeight w:val="397"/>
        </w:trPr>
        <w:tc>
          <w:tcPr>
            <w:tcW w:w="10314" w:type="dxa"/>
          </w:tcPr>
          <w:p w14:paraId="65DAFFEA" w14:textId="5C4FBA4C" w:rsidR="0052037F" w:rsidRPr="0022395E" w:rsidRDefault="0052037F" w:rsidP="005F2439">
            <w:pPr>
              <w:rPr>
                <w:rFonts w:ascii="Noto Sans" w:hAnsi="Noto Sans" w:cs="Noto Sans"/>
                <w:sz w:val="22"/>
                <w:szCs w:val="22"/>
              </w:rPr>
            </w:pPr>
            <w:r w:rsidRPr="0022395E">
              <w:rPr>
                <w:rFonts w:ascii="Noto Sans" w:hAnsi="Noto Sans" w:cs="Noto Sans"/>
                <w:sz w:val="22"/>
                <w:szCs w:val="22"/>
              </w:rPr>
              <w:t>RoadTek (</w:t>
            </w:r>
            <w:proofErr w:type="spellStart"/>
            <w:r w:rsidRPr="0022395E">
              <w:rPr>
                <w:rFonts w:ascii="Noto Sans" w:hAnsi="Noto Sans" w:cs="Noto Sans"/>
                <w:sz w:val="22"/>
                <w:szCs w:val="22"/>
              </w:rPr>
              <w:t>Commercialised</w:t>
            </w:r>
            <w:proofErr w:type="spellEnd"/>
            <w:r w:rsidRPr="0022395E">
              <w:rPr>
                <w:rFonts w:ascii="Noto Sans" w:hAnsi="Noto Sans" w:cs="Noto Sans"/>
                <w:sz w:val="22"/>
                <w:szCs w:val="22"/>
              </w:rPr>
              <w:t xml:space="preserve"> business unit)</w:t>
            </w:r>
          </w:p>
        </w:tc>
      </w:tr>
      <w:tr w:rsidR="00205219" w:rsidRPr="00004F2C" w14:paraId="352AC9C2" w14:textId="77777777" w:rsidTr="00205219">
        <w:trPr>
          <w:trHeight w:val="397"/>
        </w:trPr>
        <w:tc>
          <w:tcPr>
            <w:tcW w:w="10314" w:type="dxa"/>
          </w:tcPr>
          <w:p w14:paraId="031948C6" w14:textId="0D102BE4" w:rsidR="00205219" w:rsidRPr="00004F2C" w:rsidRDefault="00205219" w:rsidP="00004F2C">
            <w:pPr>
              <w:pStyle w:val="ListParagraph"/>
              <w:numPr>
                <w:ilvl w:val="0"/>
                <w:numId w:val="43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>Customers’ and stakeholders’ overall value of RoadTek (on a scale of 1 to 5)</w:t>
            </w:r>
          </w:p>
        </w:tc>
      </w:tr>
      <w:tr w:rsidR="00205219" w:rsidRPr="00004F2C" w14:paraId="1AECDA82" w14:textId="77777777" w:rsidTr="00205219">
        <w:trPr>
          <w:trHeight w:val="397"/>
        </w:trPr>
        <w:tc>
          <w:tcPr>
            <w:tcW w:w="10314" w:type="dxa"/>
          </w:tcPr>
          <w:p w14:paraId="00E758CA" w14:textId="24DD19EC" w:rsidR="00205219" w:rsidRPr="00004F2C" w:rsidRDefault="00205219" w:rsidP="00004F2C">
            <w:pPr>
              <w:pStyle w:val="ListParagraph"/>
              <w:numPr>
                <w:ilvl w:val="0"/>
                <w:numId w:val="43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Long term debt / equity </w:t>
            </w:r>
          </w:p>
        </w:tc>
      </w:tr>
      <w:tr w:rsidR="00205219" w:rsidRPr="00004F2C" w14:paraId="4E0F9F29" w14:textId="77777777" w:rsidTr="00205219">
        <w:trPr>
          <w:trHeight w:val="397"/>
        </w:trPr>
        <w:tc>
          <w:tcPr>
            <w:tcW w:w="10314" w:type="dxa"/>
          </w:tcPr>
          <w:p w14:paraId="677DFE0E" w14:textId="1A717F02" w:rsidR="00205219" w:rsidRPr="00004F2C" w:rsidRDefault="00205219" w:rsidP="00004F2C">
            <w:pPr>
              <w:pStyle w:val="ListParagraph"/>
              <w:numPr>
                <w:ilvl w:val="0"/>
                <w:numId w:val="43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Long term debt / total assets </w:t>
            </w:r>
          </w:p>
        </w:tc>
      </w:tr>
      <w:tr w:rsidR="00205219" w:rsidRPr="00004F2C" w14:paraId="6D9F13CC" w14:textId="77777777" w:rsidTr="00205219">
        <w:trPr>
          <w:trHeight w:val="397"/>
        </w:trPr>
        <w:tc>
          <w:tcPr>
            <w:tcW w:w="10314" w:type="dxa"/>
          </w:tcPr>
          <w:p w14:paraId="3878234E" w14:textId="71165D83" w:rsidR="00205219" w:rsidRPr="00004F2C" w:rsidRDefault="00205219" w:rsidP="00004F2C">
            <w:pPr>
              <w:pStyle w:val="ListParagraph"/>
              <w:numPr>
                <w:ilvl w:val="0"/>
                <w:numId w:val="43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>Return on equity</w:t>
            </w:r>
          </w:p>
        </w:tc>
      </w:tr>
      <w:tr w:rsidR="00205219" w:rsidRPr="00004F2C" w14:paraId="52846CE0" w14:textId="77777777" w:rsidTr="00205219">
        <w:trPr>
          <w:trHeight w:val="397"/>
        </w:trPr>
        <w:tc>
          <w:tcPr>
            <w:tcW w:w="10314" w:type="dxa"/>
          </w:tcPr>
          <w:p w14:paraId="21970309" w14:textId="5980BBC2" w:rsidR="00205219" w:rsidRPr="00004F2C" w:rsidRDefault="00205219" w:rsidP="00004F2C">
            <w:pPr>
              <w:pStyle w:val="ListParagraph"/>
              <w:numPr>
                <w:ilvl w:val="0"/>
                <w:numId w:val="43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Return on revenue (after tax) </w:t>
            </w:r>
          </w:p>
        </w:tc>
      </w:tr>
      <w:tr w:rsidR="00205219" w:rsidRPr="00004F2C" w14:paraId="74E7F3FD" w14:textId="77777777" w:rsidTr="00205219">
        <w:trPr>
          <w:trHeight w:val="397"/>
        </w:trPr>
        <w:tc>
          <w:tcPr>
            <w:tcW w:w="10314" w:type="dxa"/>
          </w:tcPr>
          <w:p w14:paraId="002F9EAA" w14:textId="26C81FA2" w:rsidR="00205219" w:rsidRPr="00004F2C" w:rsidRDefault="00205219" w:rsidP="00004F2C">
            <w:pPr>
              <w:pStyle w:val="ListParagraph"/>
              <w:numPr>
                <w:ilvl w:val="0"/>
                <w:numId w:val="43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Profit margin (earnings before income tax / user charges) </w:t>
            </w:r>
          </w:p>
        </w:tc>
      </w:tr>
      <w:tr w:rsidR="005C7A7A" w:rsidRPr="00004F2C" w14:paraId="729B7D41" w14:textId="77777777" w:rsidTr="00575C20">
        <w:trPr>
          <w:trHeight w:val="454"/>
        </w:trPr>
        <w:tc>
          <w:tcPr>
            <w:tcW w:w="10314" w:type="dxa"/>
            <w:shd w:val="clear" w:color="auto" w:fill="005EB8"/>
            <w:vAlign w:val="center"/>
          </w:tcPr>
          <w:p w14:paraId="57805DCE" w14:textId="7A2D0032" w:rsidR="005C7A7A" w:rsidRPr="00004F2C" w:rsidRDefault="005C7A7A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r w:rsidRPr="00004F2C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Performance indicator: Priority </w:t>
            </w:r>
            <w:r w:rsidR="003F3F79" w:rsidRPr="00004F2C">
              <w:rPr>
                <w:rFonts w:ascii="Noto Sans" w:hAnsi="Noto Sans" w:cs="Noto Sans"/>
                <w:sz w:val="22"/>
                <w:szCs w:val="22"/>
              </w:rPr>
              <w:t>investments</w:t>
            </w:r>
          </w:p>
        </w:tc>
      </w:tr>
      <w:tr w:rsidR="005C7A7A" w:rsidRPr="00004F2C" w14:paraId="5AF5279A" w14:textId="77777777" w:rsidTr="00575C20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52211A27" w14:textId="23364634" w:rsidR="005C7A7A" w:rsidRPr="00004F2C" w:rsidRDefault="00064338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004F2C">
              <w:rPr>
                <w:rFonts w:ascii="Noto Sans" w:hAnsi="Noto Sans" w:cs="Noto Sans"/>
                <w:color w:val="auto"/>
                <w:sz w:val="22"/>
                <w:szCs w:val="22"/>
              </w:rPr>
              <w:t>Strategic Plan Measure</w:t>
            </w:r>
          </w:p>
        </w:tc>
      </w:tr>
      <w:tr w:rsidR="00205219" w:rsidRPr="00004F2C" w14:paraId="2B995F53" w14:textId="77777777" w:rsidTr="00205219">
        <w:trPr>
          <w:trHeight w:val="624"/>
        </w:trPr>
        <w:tc>
          <w:tcPr>
            <w:tcW w:w="10314" w:type="dxa"/>
          </w:tcPr>
          <w:p w14:paraId="037B2C04" w14:textId="2B6D6F75" w:rsidR="00205219" w:rsidRPr="00004F2C" w:rsidRDefault="00B372E4" w:rsidP="00157F6F">
            <w:p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004F2C">
              <w:rPr>
                <w:rFonts w:ascii="Noto Sans" w:hAnsi="Noto Sans" w:cs="Noto Sans"/>
                <w:bCs/>
                <w:sz w:val="22"/>
                <w:szCs w:val="22"/>
              </w:rPr>
              <w:t>Percentage of expenditure on TMR transport infrastructure portfolio compared to budgeted investment</w:t>
            </w:r>
          </w:p>
        </w:tc>
      </w:tr>
    </w:tbl>
    <w:p w14:paraId="4B1C842D" w14:textId="2059A78F" w:rsidR="00D409D5" w:rsidRDefault="00D409D5">
      <w:pPr>
        <w:spacing w:after="160" w:line="259" w:lineRule="auto"/>
        <w:rPr>
          <w:rFonts w:ascii="Noto Sans" w:hAnsi="Noto Sans" w:cs="Noto Sans"/>
          <w:b/>
          <w:bCs/>
          <w:color w:val="1F4E79" w:themeColor="accent5" w:themeShade="80"/>
          <w:sz w:val="20"/>
          <w:szCs w:val="20"/>
        </w:rPr>
      </w:pPr>
    </w:p>
    <w:p w14:paraId="4BC620D7" w14:textId="449670D7" w:rsidR="009508D0" w:rsidRPr="005C7A7A" w:rsidRDefault="008D543E" w:rsidP="005C7A7A">
      <w:pPr>
        <w:pStyle w:val="Heading1"/>
        <w:spacing w:before="240"/>
        <w:rPr>
          <w:rFonts w:ascii="Noto Sans" w:hAnsi="Noto Sans" w:cs="Noto Sans"/>
          <w:color w:val="005EB8"/>
          <w:sz w:val="28"/>
          <w:szCs w:val="22"/>
        </w:rPr>
      </w:pPr>
      <w:bookmarkStart w:id="0" w:name="_Hlk200373767"/>
      <w:r w:rsidRPr="005C7A7A">
        <w:rPr>
          <w:rFonts w:ascii="Noto Sans" w:hAnsi="Noto Sans" w:cs="Noto Sans"/>
          <w:color w:val="005EB8"/>
          <w:sz w:val="28"/>
          <w:szCs w:val="22"/>
        </w:rPr>
        <w:t xml:space="preserve">Responsive and </w:t>
      </w:r>
      <w:r w:rsidR="00260195">
        <w:rPr>
          <w:rFonts w:ascii="Noto Sans" w:hAnsi="Noto Sans" w:cs="Noto Sans"/>
          <w:color w:val="005EB8"/>
          <w:sz w:val="28"/>
          <w:szCs w:val="22"/>
        </w:rPr>
        <w:t>r</w:t>
      </w:r>
      <w:r w:rsidRPr="005C7A7A">
        <w:rPr>
          <w:rFonts w:ascii="Noto Sans" w:hAnsi="Noto Sans" w:cs="Noto Sans"/>
          <w:color w:val="005EB8"/>
          <w:sz w:val="28"/>
          <w:szCs w:val="22"/>
        </w:rPr>
        <w:t>esilient: A transport system that is responsive and resilient</w:t>
      </w:r>
    </w:p>
    <w:tbl>
      <w:tblPr>
        <w:tblStyle w:val="TableGrid"/>
        <w:tblW w:w="10314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5C7A7A" w:rsidRPr="005C7A7A" w14:paraId="44A58EBD" w14:textId="77777777" w:rsidTr="00575C20">
        <w:trPr>
          <w:trHeight w:val="454"/>
        </w:trPr>
        <w:tc>
          <w:tcPr>
            <w:tcW w:w="10314" w:type="dxa"/>
            <w:shd w:val="clear" w:color="auto" w:fill="005EB8"/>
            <w:vAlign w:val="center"/>
          </w:tcPr>
          <w:p w14:paraId="104BBD30" w14:textId="5F1B9C68" w:rsidR="005C7A7A" w:rsidRPr="005C7A7A" w:rsidRDefault="005C7A7A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Performance indicator: Responsive transport network</w:t>
            </w:r>
          </w:p>
        </w:tc>
      </w:tr>
      <w:tr w:rsidR="005C7A7A" w:rsidRPr="005C7A7A" w14:paraId="26334866" w14:textId="77777777" w:rsidTr="00575C20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1E61BA42" w14:textId="70742252" w:rsidR="005C7A7A" w:rsidRPr="005C7A7A" w:rsidRDefault="00064338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 xml:space="preserve">Strategic </w:t>
            </w:r>
            <w:r>
              <w:rPr>
                <w:rFonts w:ascii="Noto Sans" w:hAnsi="Noto Sans" w:cs="Noto Sans"/>
                <w:color w:val="auto"/>
                <w:sz w:val="22"/>
                <w:szCs w:val="22"/>
              </w:rPr>
              <w:t>Plan M</w:t>
            </w: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>easures</w:t>
            </w:r>
          </w:p>
        </w:tc>
      </w:tr>
      <w:tr w:rsidR="005C7A7A" w:rsidRPr="005C7A7A" w14:paraId="4DCC5FA3" w14:textId="77777777" w:rsidTr="005C7A7A">
        <w:trPr>
          <w:trHeight w:val="454"/>
        </w:trPr>
        <w:tc>
          <w:tcPr>
            <w:tcW w:w="10314" w:type="dxa"/>
          </w:tcPr>
          <w:p w14:paraId="4D2207FF" w14:textId="338510AF" w:rsidR="005C7A7A" w:rsidRPr="005C7A7A" w:rsidRDefault="005C7A7A" w:rsidP="002E4DC6">
            <w:pPr>
              <w:rPr>
                <w:rFonts w:ascii="Noto Sans" w:hAnsi="Noto Sans" w:cs="Noto Sans"/>
                <w:color w:val="000000" w:themeColor="text1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color w:val="000000" w:themeColor="text1"/>
                <w:sz w:val="22"/>
                <w:szCs w:val="22"/>
                <w:lang w:val="en-AU"/>
              </w:rPr>
              <w:t xml:space="preserve">On-time running: Percentage of timetabled </w:t>
            </w:r>
            <w:proofErr w:type="spellStart"/>
            <w:r w:rsidRPr="005C7A7A">
              <w:rPr>
                <w:rFonts w:ascii="Noto Sans" w:hAnsi="Noto Sans" w:cs="Noto Sans"/>
                <w:color w:val="000000" w:themeColor="text1"/>
                <w:sz w:val="22"/>
                <w:szCs w:val="22"/>
                <w:lang w:val="en-AU"/>
              </w:rPr>
              <w:t>Citytrain</w:t>
            </w:r>
            <w:proofErr w:type="spellEnd"/>
            <w:r w:rsidRPr="005C7A7A">
              <w:rPr>
                <w:rFonts w:ascii="Noto Sans" w:hAnsi="Noto Sans" w:cs="Noto Sans"/>
                <w:color w:val="000000" w:themeColor="text1"/>
                <w:sz w:val="22"/>
                <w:szCs w:val="22"/>
                <w:lang w:val="en-AU"/>
              </w:rPr>
              <w:t xml:space="preserve"> AM and PM Peak Services that are punctual</w:t>
            </w:r>
          </w:p>
        </w:tc>
      </w:tr>
      <w:tr w:rsidR="005C7A7A" w:rsidRPr="005C7A7A" w14:paraId="7F902B3C" w14:textId="77777777" w:rsidTr="005C7A7A">
        <w:trPr>
          <w:trHeight w:val="454"/>
        </w:trPr>
        <w:tc>
          <w:tcPr>
            <w:tcW w:w="10314" w:type="dxa"/>
          </w:tcPr>
          <w:p w14:paraId="5BD3C931" w14:textId="20374368" w:rsidR="005C7A7A" w:rsidRPr="005C7A7A" w:rsidRDefault="005C7A7A" w:rsidP="002E4DC6">
            <w:pPr>
              <w:rPr>
                <w:rFonts w:ascii="Noto Sans" w:hAnsi="Noto Sans" w:cs="Noto Sans"/>
                <w:color w:val="000000" w:themeColor="text1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color w:val="000000" w:themeColor="text1"/>
                <w:sz w:val="22"/>
                <w:szCs w:val="22"/>
                <w:lang w:val="en-AU"/>
              </w:rPr>
              <w:t xml:space="preserve">Reliability: 24/7: Percentage of timetabled </w:t>
            </w:r>
            <w:proofErr w:type="spellStart"/>
            <w:r w:rsidRPr="005C7A7A">
              <w:rPr>
                <w:rFonts w:ascii="Noto Sans" w:hAnsi="Noto Sans" w:cs="Noto Sans"/>
                <w:color w:val="000000" w:themeColor="text1"/>
                <w:sz w:val="22"/>
                <w:szCs w:val="22"/>
                <w:lang w:val="en-AU"/>
              </w:rPr>
              <w:t>Citytrain</w:t>
            </w:r>
            <w:proofErr w:type="spellEnd"/>
            <w:r w:rsidRPr="005C7A7A">
              <w:rPr>
                <w:rFonts w:ascii="Noto Sans" w:hAnsi="Noto Sans" w:cs="Noto Sans"/>
                <w:color w:val="000000" w:themeColor="text1"/>
                <w:sz w:val="22"/>
                <w:szCs w:val="22"/>
                <w:lang w:val="en-AU"/>
              </w:rPr>
              <w:t xml:space="preserve"> Services that operated without cancellation</w:t>
            </w:r>
          </w:p>
        </w:tc>
      </w:tr>
      <w:tr w:rsidR="005C7A7A" w:rsidRPr="005C7A7A" w14:paraId="0CD151BC" w14:textId="77777777" w:rsidTr="005C7A7A">
        <w:trPr>
          <w:trHeight w:val="454"/>
        </w:trPr>
        <w:tc>
          <w:tcPr>
            <w:tcW w:w="10314" w:type="dxa"/>
          </w:tcPr>
          <w:p w14:paraId="4985BF5C" w14:textId="46F32491" w:rsidR="005C7A7A" w:rsidRPr="005C7A7A" w:rsidRDefault="005C7A7A" w:rsidP="000458E7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Customer service complaints in </w:t>
            </w:r>
            <w:proofErr w:type="gramStart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South East</w:t>
            </w:r>
            <w:proofErr w:type="gramEnd"/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 Queensland per 10,000 public transport trips</w:t>
            </w:r>
          </w:p>
        </w:tc>
      </w:tr>
      <w:tr w:rsidR="005C7A7A" w:rsidRPr="005C7A7A" w14:paraId="3A693481" w14:textId="77777777" w:rsidTr="00575C20">
        <w:trPr>
          <w:trHeight w:val="454"/>
        </w:trPr>
        <w:tc>
          <w:tcPr>
            <w:tcW w:w="10314" w:type="dxa"/>
            <w:shd w:val="clear" w:color="auto" w:fill="005EB8"/>
            <w:vAlign w:val="center"/>
          </w:tcPr>
          <w:p w14:paraId="2B56C250" w14:textId="66EDEAFE" w:rsidR="005C7A7A" w:rsidRPr="005C7A7A" w:rsidRDefault="005C7A7A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Performance indicator: Resilient transport network</w:t>
            </w:r>
          </w:p>
        </w:tc>
      </w:tr>
      <w:tr w:rsidR="005C7A7A" w:rsidRPr="005C7A7A" w14:paraId="1059D8B0" w14:textId="77777777" w:rsidTr="00575C20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7110109A" w14:textId="1B784DE7" w:rsidR="005C7A7A" w:rsidRPr="005C7A7A" w:rsidRDefault="00064338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 xml:space="preserve">Strategic </w:t>
            </w:r>
            <w:r>
              <w:rPr>
                <w:rFonts w:ascii="Noto Sans" w:hAnsi="Noto Sans" w:cs="Noto Sans"/>
                <w:color w:val="auto"/>
                <w:sz w:val="22"/>
                <w:szCs w:val="22"/>
              </w:rPr>
              <w:t>Plan M</w:t>
            </w: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>easures</w:t>
            </w:r>
          </w:p>
        </w:tc>
      </w:tr>
      <w:tr w:rsidR="005C7A7A" w:rsidRPr="005C7A7A" w14:paraId="62C64B9F" w14:textId="77777777" w:rsidTr="005C7A7A">
        <w:trPr>
          <w:trHeight w:val="454"/>
        </w:trPr>
        <w:tc>
          <w:tcPr>
            <w:tcW w:w="10314" w:type="dxa"/>
          </w:tcPr>
          <w:p w14:paraId="6072D468" w14:textId="77777777" w:rsidR="005C7A7A" w:rsidRPr="005C7A7A" w:rsidRDefault="005C7A7A" w:rsidP="002E4DC6">
            <w:p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t>Percentage of business areas with a current Process for Continuity of Business in place</w:t>
            </w:r>
          </w:p>
        </w:tc>
      </w:tr>
      <w:tr w:rsidR="005C7A7A" w:rsidRPr="005C7A7A" w14:paraId="1278F73C" w14:textId="77777777" w:rsidTr="005C7A7A">
        <w:trPr>
          <w:trHeight w:val="454"/>
        </w:trPr>
        <w:tc>
          <w:tcPr>
            <w:tcW w:w="10314" w:type="dxa"/>
          </w:tcPr>
          <w:p w14:paraId="606FCBB0" w14:textId="6CAABDEC" w:rsidR="005C7A7A" w:rsidRPr="005C7A7A" w:rsidRDefault="005C7A7A" w:rsidP="007B2EBF">
            <w:p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  <w:lang w:val="en-AU"/>
              </w:rPr>
              <w:lastRenderedPageBreak/>
              <w:t>Percentage of business areas having completed their annual continuity exercise</w:t>
            </w:r>
          </w:p>
        </w:tc>
      </w:tr>
      <w:tr w:rsidR="005C7A7A" w:rsidRPr="005C7A7A" w14:paraId="408EBE03" w14:textId="77777777" w:rsidTr="005C7A7A">
        <w:trPr>
          <w:trHeight w:val="454"/>
        </w:trPr>
        <w:tc>
          <w:tcPr>
            <w:tcW w:w="10314" w:type="dxa"/>
          </w:tcPr>
          <w:p w14:paraId="0F8A1D32" w14:textId="51B267D7" w:rsidR="005C7A7A" w:rsidRPr="005C7A7A" w:rsidRDefault="005C7A7A" w:rsidP="00EE7CF5">
            <w:p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</w:rPr>
              <w:t>Average duration of road crash impacts</w:t>
            </w:r>
          </w:p>
        </w:tc>
      </w:tr>
      <w:tr w:rsidR="005C7A7A" w:rsidRPr="005C7A7A" w14:paraId="4DA1083E" w14:textId="77777777" w:rsidTr="005C7A7A">
        <w:trPr>
          <w:trHeight w:val="454"/>
        </w:trPr>
        <w:tc>
          <w:tcPr>
            <w:tcW w:w="10314" w:type="dxa"/>
          </w:tcPr>
          <w:p w14:paraId="624B871B" w14:textId="25B124C9" w:rsidR="005C7A7A" w:rsidRPr="005C7A7A" w:rsidRDefault="005C7A7A" w:rsidP="00EE7CF5">
            <w:p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</w:rPr>
              <w:t>Total duration of impacts</w:t>
            </w:r>
          </w:p>
        </w:tc>
      </w:tr>
      <w:tr w:rsidR="005C7A7A" w:rsidRPr="005C7A7A" w14:paraId="4624433F" w14:textId="77777777" w:rsidTr="005C7A7A">
        <w:trPr>
          <w:trHeight w:val="454"/>
        </w:trPr>
        <w:tc>
          <w:tcPr>
            <w:tcW w:w="10314" w:type="dxa"/>
          </w:tcPr>
          <w:p w14:paraId="69396D25" w14:textId="2C40486F" w:rsidR="005C7A7A" w:rsidRPr="005C7A7A" w:rsidRDefault="005C7A7A" w:rsidP="00EE7CF5">
            <w:pPr>
              <w:rPr>
                <w:rFonts w:ascii="Noto Sans" w:hAnsi="Noto Sans" w:cs="Noto Sans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sz w:val="22"/>
                <w:szCs w:val="22"/>
              </w:rPr>
              <w:t xml:space="preserve">Average time to publish </w:t>
            </w:r>
            <w:proofErr w:type="spellStart"/>
            <w:r w:rsidRPr="005C7A7A">
              <w:rPr>
                <w:rFonts w:ascii="Noto Sans" w:hAnsi="Noto Sans" w:cs="Noto Sans"/>
                <w:sz w:val="22"/>
                <w:szCs w:val="22"/>
              </w:rPr>
              <w:t>traveller</w:t>
            </w:r>
            <w:proofErr w:type="spellEnd"/>
            <w:r w:rsidRPr="005C7A7A">
              <w:rPr>
                <w:rFonts w:ascii="Noto Sans" w:hAnsi="Noto Sans" w:cs="Noto Sans"/>
                <w:sz w:val="22"/>
                <w:szCs w:val="22"/>
              </w:rPr>
              <w:t xml:space="preserve"> information</w:t>
            </w:r>
          </w:p>
        </w:tc>
      </w:tr>
      <w:bookmarkEnd w:id="0"/>
    </w:tbl>
    <w:p w14:paraId="3D7CE75C" w14:textId="77777777" w:rsidR="00DF4CB9" w:rsidRDefault="00DF4CB9" w:rsidP="00E6271C">
      <w:pPr>
        <w:pStyle w:val="BodyText"/>
        <w:rPr>
          <w:rFonts w:ascii="Noto Sans" w:hAnsi="Noto Sans" w:cs="Noto Sans"/>
          <w:b/>
          <w:bCs/>
          <w:color w:val="1F4E79" w:themeColor="accent5" w:themeShade="80"/>
          <w:sz w:val="20"/>
          <w:szCs w:val="20"/>
        </w:rPr>
      </w:pPr>
    </w:p>
    <w:p w14:paraId="2E890CE9" w14:textId="0FFFF9FB" w:rsidR="00127D80" w:rsidRPr="005C7A7A" w:rsidRDefault="0009113C" w:rsidP="005C7A7A">
      <w:pPr>
        <w:pStyle w:val="Heading1"/>
        <w:spacing w:before="240"/>
        <w:rPr>
          <w:rFonts w:ascii="Noto Sans" w:hAnsi="Noto Sans" w:cs="Noto Sans"/>
          <w:color w:val="005EB8"/>
          <w:sz w:val="28"/>
          <w:szCs w:val="22"/>
        </w:rPr>
      </w:pPr>
      <w:r w:rsidRPr="005C7A7A">
        <w:rPr>
          <w:rFonts w:ascii="Noto Sans" w:hAnsi="Noto Sans" w:cs="Noto Sans"/>
          <w:color w:val="005EB8"/>
          <w:sz w:val="28"/>
          <w:szCs w:val="22"/>
        </w:rPr>
        <w:t>Engaged and focused: Engaged people and effective systems and processes delivering what matters</w:t>
      </w:r>
    </w:p>
    <w:tbl>
      <w:tblPr>
        <w:tblStyle w:val="TableGrid"/>
        <w:tblW w:w="10314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5C7A7A" w:rsidRPr="00A50665" w14:paraId="5642DA62" w14:textId="77777777" w:rsidTr="00575C20">
        <w:trPr>
          <w:trHeight w:val="454"/>
        </w:trPr>
        <w:tc>
          <w:tcPr>
            <w:tcW w:w="10314" w:type="dxa"/>
            <w:shd w:val="clear" w:color="auto" w:fill="005EB8"/>
            <w:vAlign w:val="center"/>
          </w:tcPr>
          <w:p w14:paraId="6EFC0B1A" w14:textId="4D976C92" w:rsidR="005C7A7A" w:rsidRPr="00A50665" w:rsidRDefault="005C7A7A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bookmarkStart w:id="1" w:name="_Hlk195263656"/>
            <w:r w:rsidRPr="00A50665">
              <w:rPr>
                <w:rFonts w:ascii="Noto Sans" w:hAnsi="Noto Sans" w:cs="Noto Sans"/>
                <w:sz w:val="22"/>
                <w:szCs w:val="22"/>
                <w:lang w:val="en-AU"/>
              </w:rPr>
              <w:t>Performance indicator: Employee engagement</w:t>
            </w:r>
          </w:p>
        </w:tc>
      </w:tr>
      <w:tr w:rsidR="005C7A7A" w:rsidRPr="00A50665" w14:paraId="4559B5EE" w14:textId="77777777" w:rsidTr="00575C20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5DC0B7D8" w14:textId="563B3AE3" w:rsidR="005C7A7A" w:rsidRPr="00A50665" w:rsidRDefault="00064338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 xml:space="preserve">Strategic </w:t>
            </w:r>
            <w:r>
              <w:rPr>
                <w:rFonts w:ascii="Noto Sans" w:hAnsi="Noto Sans" w:cs="Noto Sans"/>
                <w:color w:val="auto"/>
                <w:sz w:val="22"/>
                <w:szCs w:val="22"/>
              </w:rPr>
              <w:t>Plan M</w:t>
            </w: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>easures</w:t>
            </w:r>
          </w:p>
        </w:tc>
      </w:tr>
      <w:tr w:rsidR="005C7A7A" w:rsidRPr="00A50665" w14:paraId="12468CD4" w14:textId="77777777" w:rsidTr="005C7A7A">
        <w:trPr>
          <w:trHeight w:val="283"/>
        </w:trPr>
        <w:tc>
          <w:tcPr>
            <w:tcW w:w="10314" w:type="dxa"/>
          </w:tcPr>
          <w:p w14:paraId="33D1F30E" w14:textId="77777777" w:rsidR="005C7A7A" w:rsidRPr="00A50665" w:rsidRDefault="005C7A7A" w:rsidP="005D7313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A50665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Organisational leadership </w:t>
            </w:r>
            <w:r w:rsidRPr="00A50665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 xml:space="preserve">(% favourable) </w:t>
            </w:r>
            <w:r w:rsidRPr="00A50665">
              <w:rPr>
                <w:rFonts w:ascii="Noto Sans" w:hAnsi="Noto Sans" w:cs="Noto Sans"/>
                <w:sz w:val="22"/>
                <w:szCs w:val="22"/>
                <w:lang w:val="en-AU"/>
              </w:rPr>
              <w:t>as measured in the department’s Working for Queensland Survey</w:t>
            </w:r>
          </w:p>
          <w:p w14:paraId="057BB801" w14:textId="77777777" w:rsidR="005C7A7A" w:rsidRPr="00A50665" w:rsidRDefault="005C7A7A" w:rsidP="005D7313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A50665">
              <w:rPr>
                <w:rFonts w:ascii="Noto Sans" w:hAnsi="Noto Sans" w:cs="Noto Sans"/>
                <w:sz w:val="22"/>
                <w:szCs w:val="22"/>
                <w:lang w:val="en-AU"/>
              </w:rPr>
              <w:t>Executive Group</w:t>
            </w:r>
          </w:p>
          <w:p w14:paraId="38C55F8F" w14:textId="2D0720A2" w:rsidR="005C7A7A" w:rsidRPr="00A50665" w:rsidRDefault="005C7A7A" w:rsidP="005D7313">
            <w:pPr>
              <w:pStyle w:val="ListParagraph"/>
              <w:numPr>
                <w:ilvl w:val="0"/>
                <w:numId w:val="29"/>
              </w:num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A50665">
              <w:rPr>
                <w:rFonts w:ascii="Noto Sans" w:hAnsi="Noto Sans" w:cs="Noto Sans"/>
                <w:sz w:val="22"/>
                <w:szCs w:val="22"/>
                <w:lang w:val="en-AU"/>
              </w:rPr>
              <w:t xml:space="preserve">Senior Manager </w:t>
            </w:r>
          </w:p>
        </w:tc>
      </w:tr>
      <w:tr w:rsidR="005C7A7A" w:rsidRPr="00A50665" w14:paraId="7D737492" w14:textId="77777777" w:rsidTr="005C7A7A">
        <w:trPr>
          <w:trHeight w:val="624"/>
        </w:trPr>
        <w:tc>
          <w:tcPr>
            <w:tcW w:w="10314" w:type="dxa"/>
          </w:tcPr>
          <w:p w14:paraId="0579A5A7" w14:textId="5F704F6A" w:rsidR="005C7A7A" w:rsidRPr="00A50665" w:rsidRDefault="005C7A7A" w:rsidP="00966D42">
            <w:pPr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A50665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 xml:space="preserve">Employee Engagement (% favourable) </w:t>
            </w:r>
            <w:r w:rsidRPr="00A50665">
              <w:rPr>
                <w:rFonts w:ascii="Noto Sans" w:hAnsi="Noto Sans" w:cs="Noto Sans"/>
                <w:sz w:val="22"/>
                <w:szCs w:val="22"/>
                <w:lang w:val="en-AU"/>
              </w:rPr>
              <w:t>as measured in the department’s Working for Queensland Survey</w:t>
            </w:r>
          </w:p>
        </w:tc>
      </w:tr>
      <w:tr w:rsidR="005C7A7A" w:rsidRPr="00A50665" w14:paraId="04CE783D" w14:textId="77777777" w:rsidTr="00575C20">
        <w:trPr>
          <w:trHeight w:val="454"/>
        </w:trPr>
        <w:tc>
          <w:tcPr>
            <w:tcW w:w="10314" w:type="dxa"/>
            <w:shd w:val="clear" w:color="auto" w:fill="005EB8"/>
            <w:vAlign w:val="center"/>
          </w:tcPr>
          <w:p w14:paraId="359A8AE0" w14:textId="3D084B5B" w:rsidR="005C7A7A" w:rsidRPr="00A50665" w:rsidRDefault="005C7A7A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r w:rsidRPr="00A50665">
              <w:rPr>
                <w:rFonts w:ascii="Noto Sans" w:hAnsi="Noto Sans" w:cs="Noto Sans"/>
                <w:sz w:val="22"/>
                <w:szCs w:val="22"/>
                <w:lang w:val="en-AU"/>
              </w:rPr>
              <w:t>Performance indicator: System performance</w:t>
            </w:r>
          </w:p>
        </w:tc>
      </w:tr>
      <w:tr w:rsidR="005C7A7A" w:rsidRPr="00A50665" w14:paraId="6C4836AB" w14:textId="77777777" w:rsidTr="00575C20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7FE76CDC" w14:textId="2052114B" w:rsidR="005C7A7A" w:rsidRPr="00A50665" w:rsidRDefault="00064338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 xml:space="preserve">Strategic </w:t>
            </w:r>
            <w:r>
              <w:rPr>
                <w:rFonts w:ascii="Noto Sans" w:hAnsi="Noto Sans" w:cs="Noto Sans"/>
                <w:color w:val="auto"/>
                <w:sz w:val="22"/>
                <w:szCs w:val="22"/>
              </w:rPr>
              <w:t>Plan M</w:t>
            </w: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>easure</w:t>
            </w:r>
          </w:p>
        </w:tc>
      </w:tr>
      <w:tr w:rsidR="005C7A7A" w:rsidRPr="00A50665" w14:paraId="744F2B48" w14:textId="77777777" w:rsidTr="00A50665">
        <w:trPr>
          <w:trHeight w:val="454"/>
        </w:trPr>
        <w:tc>
          <w:tcPr>
            <w:tcW w:w="10314" w:type="dxa"/>
          </w:tcPr>
          <w:p w14:paraId="631542EC" w14:textId="0AE6A13F" w:rsidR="005C7A7A" w:rsidRPr="00A50665" w:rsidRDefault="005C7A7A" w:rsidP="00EE7CF5">
            <w:pPr>
              <w:rPr>
                <w:rFonts w:ascii="Noto Sans" w:eastAsia="Times New Roman" w:hAnsi="Noto Sans" w:cs="Noto Sans"/>
                <w:sz w:val="22"/>
                <w:szCs w:val="22"/>
                <w:highlight w:val="yellow"/>
              </w:rPr>
            </w:pPr>
            <w:r w:rsidRPr="00A50665">
              <w:rPr>
                <w:rFonts w:ascii="Noto Sans" w:eastAsia="Times New Roman" w:hAnsi="Noto Sans" w:cs="Noto Sans"/>
                <w:sz w:val="22"/>
                <w:szCs w:val="22"/>
              </w:rPr>
              <w:t xml:space="preserve">Uptime of critical digital workplace/office systems </w:t>
            </w:r>
          </w:p>
        </w:tc>
      </w:tr>
      <w:tr w:rsidR="005C7A7A" w:rsidRPr="00A50665" w14:paraId="4DAE36F0" w14:textId="77777777" w:rsidTr="00575C20">
        <w:trPr>
          <w:trHeight w:val="454"/>
        </w:trPr>
        <w:tc>
          <w:tcPr>
            <w:tcW w:w="10314" w:type="dxa"/>
            <w:shd w:val="clear" w:color="auto" w:fill="005EB8"/>
            <w:vAlign w:val="center"/>
          </w:tcPr>
          <w:p w14:paraId="30DA9C62" w14:textId="0F731472" w:rsidR="005C7A7A" w:rsidRPr="00A50665" w:rsidRDefault="005C7A7A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b w:val="0"/>
                <w:sz w:val="22"/>
                <w:szCs w:val="22"/>
                <w:lang w:val="en-AU"/>
              </w:rPr>
            </w:pPr>
            <w:r w:rsidRPr="00A50665">
              <w:rPr>
                <w:rFonts w:ascii="Noto Sans" w:hAnsi="Noto Sans" w:cs="Noto Sans"/>
                <w:sz w:val="22"/>
                <w:szCs w:val="22"/>
                <w:lang w:val="en-AU"/>
              </w:rPr>
              <w:t>Performance indicator: Process efficiency</w:t>
            </w:r>
          </w:p>
        </w:tc>
      </w:tr>
      <w:tr w:rsidR="005C7A7A" w:rsidRPr="00A50665" w14:paraId="22E03569" w14:textId="77777777" w:rsidTr="00575C20">
        <w:trPr>
          <w:trHeight w:val="454"/>
        </w:trPr>
        <w:tc>
          <w:tcPr>
            <w:tcW w:w="10314" w:type="dxa"/>
            <w:shd w:val="clear" w:color="auto" w:fill="CCDEF0"/>
            <w:vAlign w:val="center"/>
          </w:tcPr>
          <w:p w14:paraId="2F7E7F23" w14:textId="26155847" w:rsidR="005C7A7A" w:rsidRPr="00A50665" w:rsidRDefault="00064338" w:rsidP="00575C20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Noto Sans" w:hAnsi="Noto Sans" w:cs="Noto Sans"/>
                <w:color w:val="auto"/>
                <w:sz w:val="22"/>
                <w:szCs w:val="22"/>
              </w:rPr>
            </w:pP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 xml:space="preserve">Strategic </w:t>
            </w:r>
            <w:r>
              <w:rPr>
                <w:rFonts w:ascii="Noto Sans" w:hAnsi="Noto Sans" w:cs="Noto Sans"/>
                <w:color w:val="auto"/>
                <w:sz w:val="22"/>
                <w:szCs w:val="22"/>
              </w:rPr>
              <w:t>Plan M</w:t>
            </w:r>
            <w:r w:rsidRPr="005C7A7A">
              <w:rPr>
                <w:rFonts w:ascii="Noto Sans" w:hAnsi="Noto Sans" w:cs="Noto Sans"/>
                <w:color w:val="auto"/>
                <w:sz w:val="22"/>
                <w:szCs w:val="22"/>
              </w:rPr>
              <w:t>easures</w:t>
            </w:r>
          </w:p>
        </w:tc>
      </w:tr>
      <w:tr w:rsidR="005C7A7A" w:rsidRPr="00A50665" w14:paraId="51DE5738" w14:textId="77777777" w:rsidTr="005C7A7A">
        <w:trPr>
          <w:trHeight w:val="283"/>
        </w:trPr>
        <w:tc>
          <w:tcPr>
            <w:tcW w:w="10314" w:type="dxa"/>
          </w:tcPr>
          <w:p w14:paraId="4D7491B3" w14:textId="77777777" w:rsidR="005C7A7A" w:rsidRPr="00A50665" w:rsidRDefault="005C7A7A" w:rsidP="00EE7CF5">
            <w:pPr>
              <w:rPr>
                <w:rFonts w:ascii="Noto Sans" w:hAnsi="Noto Sans" w:cs="Noto Sans"/>
                <w:bCs/>
                <w:sz w:val="22"/>
                <w:szCs w:val="22"/>
              </w:rPr>
            </w:pPr>
            <w:r w:rsidRPr="00A50665">
              <w:rPr>
                <w:rFonts w:ascii="Noto Sans" w:hAnsi="Noto Sans" w:cs="Noto Sans"/>
                <w:bCs/>
                <w:sz w:val="22"/>
                <w:szCs w:val="22"/>
              </w:rPr>
              <w:t>On time payment performance</w:t>
            </w:r>
          </w:p>
          <w:p w14:paraId="05FBB883" w14:textId="77777777" w:rsidR="005C7A7A" w:rsidRPr="00A50665" w:rsidRDefault="005C7A7A" w:rsidP="00EE7CF5">
            <w:pPr>
              <w:numPr>
                <w:ilvl w:val="0"/>
                <w:numId w:val="37"/>
              </w:num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proofErr w:type="gramStart"/>
            <w:r w:rsidRPr="00A50665">
              <w:rPr>
                <w:rFonts w:ascii="Noto Sans" w:hAnsi="Noto Sans" w:cs="Noto Sans"/>
                <w:bCs/>
                <w:sz w:val="22"/>
                <w:szCs w:val="22"/>
              </w:rPr>
              <w:t>Small and</w:t>
            </w:r>
            <w:proofErr w:type="gramEnd"/>
            <w:r w:rsidRPr="00A50665">
              <w:rPr>
                <w:rFonts w:ascii="Noto Sans" w:hAnsi="Noto Sans" w:cs="Noto Sans"/>
                <w:bCs/>
                <w:sz w:val="22"/>
                <w:szCs w:val="22"/>
              </w:rPr>
              <w:t xml:space="preserve"> family business</w:t>
            </w:r>
          </w:p>
          <w:p w14:paraId="45105DDC" w14:textId="4FC65019" w:rsidR="005C7A7A" w:rsidRPr="00A50665" w:rsidRDefault="005C7A7A" w:rsidP="00EE7CF5">
            <w:pPr>
              <w:numPr>
                <w:ilvl w:val="0"/>
                <w:numId w:val="37"/>
              </w:numPr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A50665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All vendors</w:t>
            </w:r>
          </w:p>
        </w:tc>
      </w:tr>
      <w:bookmarkEnd w:id="1"/>
    </w:tbl>
    <w:p w14:paraId="6CDF32FF" w14:textId="77777777" w:rsidR="00282B9C" w:rsidRPr="008513CF" w:rsidRDefault="00282B9C" w:rsidP="00DE13FF">
      <w:pPr>
        <w:pStyle w:val="BodyText"/>
        <w:rPr>
          <w:rFonts w:ascii="Noto Sans" w:hAnsi="Noto Sans" w:cs="Noto Sans"/>
          <w:b/>
          <w:bCs/>
          <w:color w:val="1F4E79" w:themeColor="accent5" w:themeShade="80"/>
          <w:sz w:val="24"/>
          <w:szCs w:val="24"/>
        </w:rPr>
      </w:pPr>
    </w:p>
    <w:sectPr w:rsidR="00282B9C" w:rsidRPr="008513CF" w:rsidSect="00BA6692">
      <w:footerReference w:type="default" r:id="rId7"/>
      <w:headerReference w:type="first" r:id="rId8"/>
      <w:pgSz w:w="11906" w:h="16838"/>
      <w:pgMar w:top="1134" w:right="851" w:bottom="1135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9710" w14:textId="77777777" w:rsidR="00872D7C" w:rsidRDefault="00872D7C" w:rsidP="00502DF7">
      <w:r>
        <w:separator/>
      </w:r>
    </w:p>
  </w:endnote>
  <w:endnote w:type="continuationSeparator" w:id="0">
    <w:p w14:paraId="4091E2A7" w14:textId="77777777" w:rsidR="00872D7C" w:rsidRDefault="00872D7C" w:rsidP="00502DF7">
      <w:r>
        <w:continuationSeparator/>
      </w:r>
    </w:p>
  </w:endnote>
  <w:endnote w:type="continuationNotice" w:id="1">
    <w:p w14:paraId="1C9552BF" w14:textId="77777777" w:rsidR="00872D7C" w:rsidRDefault="00872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70334"/>
      <w:docPartObj>
        <w:docPartGallery w:val="Page Numbers (Bottom of Page)"/>
        <w:docPartUnique/>
      </w:docPartObj>
    </w:sdtPr>
    <w:sdtEndPr>
      <w:rPr>
        <w:rFonts w:ascii="Aptos" w:hAnsi="Aptos"/>
        <w:sz w:val="16"/>
        <w:szCs w:val="16"/>
      </w:rPr>
    </w:sdtEndPr>
    <w:sdtContent>
      <w:sdt>
        <w:sdtPr>
          <w:rPr>
            <w:rFonts w:ascii="Aptos" w:hAnsi="Aptos"/>
            <w:sz w:val="16"/>
            <w:szCs w:val="16"/>
          </w:rPr>
          <w:id w:val="-1292828931"/>
          <w:docPartObj>
            <w:docPartGallery w:val="Page Numbers (Top of Page)"/>
            <w:docPartUnique/>
          </w:docPartObj>
        </w:sdtPr>
        <w:sdtContent>
          <w:p w14:paraId="496AF59A" w14:textId="153A5A78" w:rsidR="001A40C4" w:rsidRPr="001A40C4" w:rsidRDefault="00A84D7E" w:rsidP="002C4A10">
            <w:pPr>
              <w:pStyle w:val="Foo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TMR Strategic Plan Measures 2026–27</w:t>
            </w:r>
            <w:r w:rsidR="00CA4EE4">
              <w:rPr>
                <w:rFonts w:ascii="Aptos" w:hAnsi="Aptos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1A40C4" w:rsidRPr="001A40C4">
              <w:rPr>
                <w:rFonts w:ascii="Aptos" w:hAnsi="Aptos"/>
                <w:sz w:val="16"/>
                <w:szCs w:val="16"/>
              </w:rPr>
              <w:t xml:space="preserve">Page 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begin"/>
            </w:r>
            <w:r w:rsidR="001A40C4" w:rsidRPr="001A40C4">
              <w:rPr>
                <w:rFonts w:ascii="Aptos" w:hAnsi="Aptos"/>
                <w:sz w:val="16"/>
                <w:szCs w:val="16"/>
              </w:rPr>
              <w:instrText xml:space="preserve"> PAGE </w:instrTex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separate"/>
            </w:r>
            <w:r w:rsidR="001A40C4" w:rsidRPr="001A40C4">
              <w:rPr>
                <w:rFonts w:ascii="Aptos" w:hAnsi="Aptos"/>
                <w:noProof/>
                <w:sz w:val="16"/>
                <w:szCs w:val="16"/>
              </w:rPr>
              <w:t>2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end"/>
            </w:r>
            <w:r w:rsidR="001A40C4" w:rsidRPr="001A40C4">
              <w:rPr>
                <w:rFonts w:ascii="Aptos" w:hAnsi="Aptos"/>
                <w:sz w:val="16"/>
                <w:szCs w:val="16"/>
              </w:rPr>
              <w:t xml:space="preserve"> of 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begin"/>
            </w:r>
            <w:r w:rsidR="001A40C4" w:rsidRPr="001A40C4">
              <w:rPr>
                <w:rFonts w:ascii="Aptos" w:hAnsi="Aptos"/>
                <w:sz w:val="16"/>
                <w:szCs w:val="16"/>
              </w:rPr>
              <w:instrText xml:space="preserve"> NUMPAGES  </w:instrTex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separate"/>
            </w:r>
            <w:r w:rsidR="001A40C4" w:rsidRPr="001A40C4">
              <w:rPr>
                <w:rFonts w:ascii="Aptos" w:hAnsi="Aptos"/>
                <w:noProof/>
                <w:sz w:val="16"/>
                <w:szCs w:val="16"/>
              </w:rPr>
              <w:t>2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end"/>
            </w:r>
          </w:p>
        </w:sdtContent>
      </w:sdt>
    </w:sdtContent>
  </w:sdt>
  <w:p w14:paraId="5B11EF68" w14:textId="77777777" w:rsidR="00D3120A" w:rsidRDefault="00D31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FF2C" w14:textId="77777777" w:rsidR="00872D7C" w:rsidRDefault="00872D7C" w:rsidP="00502DF7">
      <w:r>
        <w:separator/>
      </w:r>
    </w:p>
  </w:footnote>
  <w:footnote w:type="continuationSeparator" w:id="0">
    <w:p w14:paraId="3D9F402B" w14:textId="77777777" w:rsidR="00872D7C" w:rsidRDefault="00872D7C" w:rsidP="00502DF7">
      <w:r>
        <w:continuationSeparator/>
      </w:r>
    </w:p>
  </w:footnote>
  <w:footnote w:type="continuationNotice" w:id="1">
    <w:p w14:paraId="7F1F46FB" w14:textId="77777777" w:rsidR="00872D7C" w:rsidRDefault="00872D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ED4C" w14:textId="0509F178" w:rsidR="00502DF7" w:rsidRDefault="00541CD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11C6617" wp14:editId="5F8847C5">
          <wp:simplePos x="0" y="0"/>
          <wp:positionH relativeFrom="column">
            <wp:posOffset>-549911</wp:posOffset>
          </wp:positionH>
          <wp:positionV relativeFrom="paragraph">
            <wp:posOffset>-288290</wp:posOffset>
          </wp:positionV>
          <wp:extent cx="7553325" cy="10680064"/>
          <wp:effectExtent l="0" t="0" r="0" b="0"/>
          <wp:wrapNone/>
          <wp:docPr id="194264193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599657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444" cy="10701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D20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C4E8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92E65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256DF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C888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73EF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7957AB"/>
    <w:multiLevelType w:val="hybridMultilevel"/>
    <w:tmpl w:val="988EF2A4"/>
    <w:lvl w:ilvl="0" w:tplc="28E44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F5E49"/>
    <w:multiLevelType w:val="hybridMultilevel"/>
    <w:tmpl w:val="A8C2A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90D8F"/>
    <w:multiLevelType w:val="hybridMultilevel"/>
    <w:tmpl w:val="992EE0E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90F2CB5"/>
    <w:multiLevelType w:val="hybridMultilevel"/>
    <w:tmpl w:val="D4DA50B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E22080"/>
    <w:multiLevelType w:val="hybridMultilevel"/>
    <w:tmpl w:val="2C10D5B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F1E30"/>
    <w:multiLevelType w:val="hybridMultilevel"/>
    <w:tmpl w:val="B0727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6F45"/>
    <w:multiLevelType w:val="hybridMultilevel"/>
    <w:tmpl w:val="F7BEC12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92239F"/>
    <w:multiLevelType w:val="hybridMultilevel"/>
    <w:tmpl w:val="2ECCD4C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FD56DBF"/>
    <w:multiLevelType w:val="hybridMultilevel"/>
    <w:tmpl w:val="1E366B5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6135B5D"/>
    <w:multiLevelType w:val="multilevel"/>
    <w:tmpl w:val="E9D6675A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6" w15:restartNumberingAfterBreak="0">
    <w:nsid w:val="27F04A36"/>
    <w:multiLevelType w:val="multilevel"/>
    <w:tmpl w:val="8AF8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886BAF"/>
    <w:multiLevelType w:val="hybridMultilevel"/>
    <w:tmpl w:val="AA507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C2D5F"/>
    <w:multiLevelType w:val="multilevel"/>
    <w:tmpl w:val="3452B96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1C04993"/>
    <w:multiLevelType w:val="hybridMultilevel"/>
    <w:tmpl w:val="9B42A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7361B"/>
    <w:multiLevelType w:val="hybridMultilevel"/>
    <w:tmpl w:val="E51E752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2046F6C"/>
    <w:multiLevelType w:val="hybridMultilevel"/>
    <w:tmpl w:val="8356F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059C1"/>
    <w:multiLevelType w:val="hybridMultilevel"/>
    <w:tmpl w:val="ED60FA36"/>
    <w:lvl w:ilvl="0" w:tplc="886656D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C22BEB"/>
    <w:multiLevelType w:val="multilevel"/>
    <w:tmpl w:val="3452B96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9A3C93"/>
    <w:multiLevelType w:val="hybridMultilevel"/>
    <w:tmpl w:val="11706E92"/>
    <w:lvl w:ilvl="0" w:tplc="8BACE0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13E45"/>
    <w:multiLevelType w:val="hybridMultilevel"/>
    <w:tmpl w:val="3814D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573A3"/>
    <w:multiLevelType w:val="hybridMultilevel"/>
    <w:tmpl w:val="26F4E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E00D1"/>
    <w:multiLevelType w:val="hybridMultilevel"/>
    <w:tmpl w:val="08AAB63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70AD1"/>
    <w:multiLevelType w:val="multilevel"/>
    <w:tmpl w:val="E3F609F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2104C8"/>
    <w:multiLevelType w:val="hybridMultilevel"/>
    <w:tmpl w:val="4BFEDAEA"/>
    <w:lvl w:ilvl="0" w:tplc="F19CB2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5BC8C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D299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D402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C8497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60CCA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0AE83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94287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864D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5FF33B73"/>
    <w:multiLevelType w:val="hybridMultilevel"/>
    <w:tmpl w:val="B022AC68"/>
    <w:lvl w:ilvl="0" w:tplc="26B65C5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F380A"/>
    <w:multiLevelType w:val="multilevel"/>
    <w:tmpl w:val="36E2059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566564"/>
    <w:multiLevelType w:val="multilevel"/>
    <w:tmpl w:val="3452B96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7D656DF"/>
    <w:multiLevelType w:val="multilevel"/>
    <w:tmpl w:val="5806411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A2A1904"/>
    <w:multiLevelType w:val="hybridMultilevel"/>
    <w:tmpl w:val="C4569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B3E8F"/>
    <w:multiLevelType w:val="hybridMultilevel"/>
    <w:tmpl w:val="D4DA50B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821057"/>
    <w:multiLevelType w:val="hybridMultilevel"/>
    <w:tmpl w:val="1A2418C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CDA3C9B"/>
    <w:multiLevelType w:val="singleLevel"/>
    <w:tmpl w:val="C9CC4452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38" w15:restartNumberingAfterBreak="0">
    <w:nsid w:val="6D1926E1"/>
    <w:multiLevelType w:val="hybridMultilevel"/>
    <w:tmpl w:val="661C9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601D9"/>
    <w:multiLevelType w:val="singleLevel"/>
    <w:tmpl w:val="5E22B866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40" w15:restartNumberingAfterBreak="0">
    <w:nsid w:val="73211652"/>
    <w:multiLevelType w:val="hybridMultilevel"/>
    <w:tmpl w:val="1B76D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77482"/>
    <w:multiLevelType w:val="multilevel"/>
    <w:tmpl w:val="3452B96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7FB329F"/>
    <w:multiLevelType w:val="singleLevel"/>
    <w:tmpl w:val="56B6F3C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3" w15:restartNumberingAfterBreak="0">
    <w:nsid w:val="7BDD1086"/>
    <w:multiLevelType w:val="hybridMultilevel"/>
    <w:tmpl w:val="5DAAC7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42198">
    <w:abstractNumId w:val="4"/>
  </w:num>
  <w:num w:numId="2" w16cid:durableId="1670719804">
    <w:abstractNumId w:val="15"/>
  </w:num>
  <w:num w:numId="3" w16cid:durableId="1094939600">
    <w:abstractNumId w:val="1"/>
  </w:num>
  <w:num w:numId="4" w16cid:durableId="738939816">
    <w:abstractNumId w:val="0"/>
  </w:num>
  <w:num w:numId="5" w16cid:durableId="876504079">
    <w:abstractNumId w:val="5"/>
  </w:num>
  <w:num w:numId="6" w16cid:durableId="1353219579">
    <w:abstractNumId w:val="42"/>
  </w:num>
  <w:num w:numId="7" w16cid:durableId="390539805">
    <w:abstractNumId w:val="3"/>
  </w:num>
  <w:num w:numId="8" w16cid:durableId="635374543">
    <w:abstractNumId w:val="39"/>
  </w:num>
  <w:num w:numId="9" w16cid:durableId="785077941">
    <w:abstractNumId w:val="2"/>
  </w:num>
  <w:num w:numId="10" w16cid:durableId="1516578240">
    <w:abstractNumId w:val="37"/>
  </w:num>
  <w:num w:numId="11" w16cid:durableId="1773085332">
    <w:abstractNumId w:val="24"/>
  </w:num>
  <w:num w:numId="12" w16cid:durableId="692654872">
    <w:abstractNumId w:val="22"/>
  </w:num>
  <w:num w:numId="13" w16cid:durableId="1804082763">
    <w:abstractNumId w:val="28"/>
  </w:num>
  <w:num w:numId="14" w16cid:durableId="1166702920">
    <w:abstractNumId w:val="12"/>
  </w:num>
  <w:num w:numId="15" w16cid:durableId="2075470958">
    <w:abstractNumId w:val="33"/>
  </w:num>
  <w:num w:numId="16" w16cid:durableId="1432582060">
    <w:abstractNumId w:val="18"/>
  </w:num>
  <w:num w:numId="17" w16cid:durableId="640041333">
    <w:abstractNumId w:val="31"/>
  </w:num>
  <w:num w:numId="18" w16cid:durableId="280915337">
    <w:abstractNumId w:val="23"/>
  </w:num>
  <w:num w:numId="19" w16cid:durableId="2137797546">
    <w:abstractNumId w:val="32"/>
  </w:num>
  <w:num w:numId="20" w16cid:durableId="8147930">
    <w:abstractNumId w:val="41"/>
  </w:num>
  <w:num w:numId="21" w16cid:durableId="1486707050">
    <w:abstractNumId w:val="30"/>
  </w:num>
  <w:num w:numId="22" w16cid:durableId="1152410691">
    <w:abstractNumId w:val="21"/>
  </w:num>
  <w:num w:numId="23" w16cid:durableId="1753895975">
    <w:abstractNumId w:val="14"/>
  </w:num>
  <w:num w:numId="24" w16cid:durableId="152525242">
    <w:abstractNumId w:val="8"/>
  </w:num>
  <w:num w:numId="25" w16cid:durableId="1539274722">
    <w:abstractNumId w:val="36"/>
  </w:num>
  <w:num w:numId="26" w16cid:durableId="416950761">
    <w:abstractNumId w:val="7"/>
  </w:num>
  <w:num w:numId="27" w16cid:durableId="1787893350">
    <w:abstractNumId w:val="40"/>
  </w:num>
  <w:num w:numId="28" w16cid:durableId="723405611">
    <w:abstractNumId w:val="6"/>
  </w:num>
  <w:num w:numId="29" w16cid:durableId="1371146230">
    <w:abstractNumId w:val="13"/>
  </w:num>
  <w:num w:numId="30" w16cid:durableId="1305432848">
    <w:abstractNumId w:val="25"/>
  </w:num>
  <w:num w:numId="31" w16cid:durableId="454249335">
    <w:abstractNumId w:val="34"/>
  </w:num>
  <w:num w:numId="32" w16cid:durableId="2042783926">
    <w:abstractNumId w:val="38"/>
  </w:num>
  <w:num w:numId="33" w16cid:durableId="1110932188">
    <w:abstractNumId w:val="11"/>
  </w:num>
  <w:num w:numId="34" w16cid:durableId="1348675600">
    <w:abstractNumId w:val="19"/>
  </w:num>
  <w:num w:numId="35" w16cid:durableId="2904647">
    <w:abstractNumId w:val="20"/>
  </w:num>
  <w:num w:numId="36" w16cid:durableId="1012951549">
    <w:abstractNumId w:val="26"/>
  </w:num>
  <w:num w:numId="37" w16cid:durableId="871262094">
    <w:abstractNumId w:val="16"/>
  </w:num>
  <w:num w:numId="38" w16cid:durableId="721714274">
    <w:abstractNumId w:val="10"/>
  </w:num>
  <w:num w:numId="39" w16cid:durableId="1261254571">
    <w:abstractNumId w:val="27"/>
  </w:num>
  <w:num w:numId="40" w16cid:durableId="556863289">
    <w:abstractNumId w:val="43"/>
  </w:num>
  <w:num w:numId="41" w16cid:durableId="379939435">
    <w:abstractNumId w:val="35"/>
  </w:num>
  <w:num w:numId="42" w16cid:durableId="1173178078">
    <w:abstractNumId w:val="9"/>
  </w:num>
  <w:num w:numId="43" w16cid:durableId="1106927646">
    <w:abstractNumId w:val="17"/>
  </w:num>
  <w:num w:numId="44" w16cid:durableId="4890615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F7"/>
    <w:rsid w:val="00000335"/>
    <w:rsid w:val="00000BF9"/>
    <w:rsid w:val="00000EDD"/>
    <w:rsid w:val="00001F9D"/>
    <w:rsid w:val="00004F2C"/>
    <w:rsid w:val="00011F0E"/>
    <w:rsid w:val="00011F94"/>
    <w:rsid w:val="00014F11"/>
    <w:rsid w:val="00014FF0"/>
    <w:rsid w:val="000254E1"/>
    <w:rsid w:val="00027318"/>
    <w:rsid w:val="000305B6"/>
    <w:rsid w:val="00042DB4"/>
    <w:rsid w:val="000458E7"/>
    <w:rsid w:val="00052F35"/>
    <w:rsid w:val="000536A5"/>
    <w:rsid w:val="00054B8C"/>
    <w:rsid w:val="00064338"/>
    <w:rsid w:val="00064CF9"/>
    <w:rsid w:val="0006629B"/>
    <w:rsid w:val="00071912"/>
    <w:rsid w:val="00081019"/>
    <w:rsid w:val="00086FF6"/>
    <w:rsid w:val="0009113C"/>
    <w:rsid w:val="00096DBA"/>
    <w:rsid w:val="000A0AD3"/>
    <w:rsid w:val="000A44AF"/>
    <w:rsid w:val="000B2146"/>
    <w:rsid w:val="000B6FB7"/>
    <w:rsid w:val="000B7067"/>
    <w:rsid w:val="000C3D81"/>
    <w:rsid w:val="000C5610"/>
    <w:rsid w:val="000C6890"/>
    <w:rsid w:val="000C76E4"/>
    <w:rsid w:val="000C7C50"/>
    <w:rsid w:val="000D336A"/>
    <w:rsid w:val="000D64B0"/>
    <w:rsid w:val="000D78C7"/>
    <w:rsid w:val="000E64D4"/>
    <w:rsid w:val="000F24D0"/>
    <w:rsid w:val="000F7F84"/>
    <w:rsid w:val="001029E8"/>
    <w:rsid w:val="0010770D"/>
    <w:rsid w:val="00111CE1"/>
    <w:rsid w:val="00113C0E"/>
    <w:rsid w:val="00120B3B"/>
    <w:rsid w:val="00122B14"/>
    <w:rsid w:val="00127D80"/>
    <w:rsid w:val="00130F8B"/>
    <w:rsid w:val="00131CA7"/>
    <w:rsid w:val="00133E93"/>
    <w:rsid w:val="00133ED8"/>
    <w:rsid w:val="00137B05"/>
    <w:rsid w:val="00140F8E"/>
    <w:rsid w:val="00153F6B"/>
    <w:rsid w:val="00156024"/>
    <w:rsid w:val="00157F6F"/>
    <w:rsid w:val="001755B7"/>
    <w:rsid w:val="001776BD"/>
    <w:rsid w:val="0018122B"/>
    <w:rsid w:val="00186F05"/>
    <w:rsid w:val="00190BEA"/>
    <w:rsid w:val="00195253"/>
    <w:rsid w:val="00196ECB"/>
    <w:rsid w:val="00197A5B"/>
    <w:rsid w:val="001A0176"/>
    <w:rsid w:val="001A0F4F"/>
    <w:rsid w:val="001A40C4"/>
    <w:rsid w:val="001A65E3"/>
    <w:rsid w:val="001A6911"/>
    <w:rsid w:val="001B1F08"/>
    <w:rsid w:val="001B3684"/>
    <w:rsid w:val="001B41F6"/>
    <w:rsid w:val="001B706D"/>
    <w:rsid w:val="001C183C"/>
    <w:rsid w:val="001C282C"/>
    <w:rsid w:val="001C2E8E"/>
    <w:rsid w:val="001D0D1F"/>
    <w:rsid w:val="001D18D8"/>
    <w:rsid w:val="001D3C4A"/>
    <w:rsid w:val="001D5B3C"/>
    <w:rsid w:val="001D7BE2"/>
    <w:rsid w:val="001E497D"/>
    <w:rsid w:val="001E61F1"/>
    <w:rsid w:val="001E6303"/>
    <w:rsid w:val="001F117C"/>
    <w:rsid w:val="001F1C24"/>
    <w:rsid w:val="001F1FA1"/>
    <w:rsid w:val="001F2BC2"/>
    <w:rsid w:val="00201651"/>
    <w:rsid w:val="00205219"/>
    <w:rsid w:val="0020619D"/>
    <w:rsid w:val="002104EB"/>
    <w:rsid w:val="00210648"/>
    <w:rsid w:val="0021119A"/>
    <w:rsid w:val="00212218"/>
    <w:rsid w:val="00217CC4"/>
    <w:rsid w:val="00222C99"/>
    <w:rsid w:val="0022395E"/>
    <w:rsid w:val="00223C8B"/>
    <w:rsid w:val="002249A0"/>
    <w:rsid w:val="0022518C"/>
    <w:rsid w:val="00230D2B"/>
    <w:rsid w:val="00232EA5"/>
    <w:rsid w:val="00234468"/>
    <w:rsid w:val="00244165"/>
    <w:rsid w:val="002507C8"/>
    <w:rsid w:val="00254FBE"/>
    <w:rsid w:val="00255B97"/>
    <w:rsid w:val="00260195"/>
    <w:rsid w:val="0026212B"/>
    <w:rsid w:val="002623DD"/>
    <w:rsid w:val="0026294C"/>
    <w:rsid w:val="00273BCF"/>
    <w:rsid w:val="00273E1F"/>
    <w:rsid w:val="002762EF"/>
    <w:rsid w:val="00282B9C"/>
    <w:rsid w:val="002850CB"/>
    <w:rsid w:val="002873A3"/>
    <w:rsid w:val="00293E13"/>
    <w:rsid w:val="00295083"/>
    <w:rsid w:val="0029602E"/>
    <w:rsid w:val="00296642"/>
    <w:rsid w:val="00297D43"/>
    <w:rsid w:val="002A3844"/>
    <w:rsid w:val="002A63F9"/>
    <w:rsid w:val="002A7C2F"/>
    <w:rsid w:val="002B4B67"/>
    <w:rsid w:val="002C1DE2"/>
    <w:rsid w:val="002C277B"/>
    <w:rsid w:val="002C4A10"/>
    <w:rsid w:val="002C5F7D"/>
    <w:rsid w:val="002C6739"/>
    <w:rsid w:val="002C7149"/>
    <w:rsid w:val="002D087D"/>
    <w:rsid w:val="002D0CAE"/>
    <w:rsid w:val="002D20D4"/>
    <w:rsid w:val="002D2EE3"/>
    <w:rsid w:val="002E51CD"/>
    <w:rsid w:val="002E5E64"/>
    <w:rsid w:val="002F2C58"/>
    <w:rsid w:val="002F477F"/>
    <w:rsid w:val="002F6D5E"/>
    <w:rsid w:val="003001D6"/>
    <w:rsid w:val="00304C64"/>
    <w:rsid w:val="00307FAA"/>
    <w:rsid w:val="003105C7"/>
    <w:rsid w:val="003111CA"/>
    <w:rsid w:val="003116F5"/>
    <w:rsid w:val="00311C25"/>
    <w:rsid w:val="00311CC9"/>
    <w:rsid w:val="00324C2E"/>
    <w:rsid w:val="00324C52"/>
    <w:rsid w:val="00325C1D"/>
    <w:rsid w:val="003447D5"/>
    <w:rsid w:val="003617E8"/>
    <w:rsid w:val="0036695B"/>
    <w:rsid w:val="003675F1"/>
    <w:rsid w:val="00375723"/>
    <w:rsid w:val="00375F0F"/>
    <w:rsid w:val="00376192"/>
    <w:rsid w:val="00380A99"/>
    <w:rsid w:val="0038256F"/>
    <w:rsid w:val="00383E4A"/>
    <w:rsid w:val="00386154"/>
    <w:rsid w:val="003927B0"/>
    <w:rsid w:val="003932E3"/>
    <w:rsid w:val="00394EF2"/>
    <w:rsid w:val="003A3608"/>
    <w:rsid w:val="003B1D40"/>
    <w:rsid w:val="003B2F6F"/>
    <w:rsid w:val="003B4068"/>
    <w:rsid w:val="003D2C15"/>
    <w:rsid w:val="003D6887"/>
    <w:rsid w:val="003F3F79"/>
    <w:rsid w:val="003F4CCF"/>
    <w:rsid w:val="00400F9A"/>
    <w:rsid w:val="00401ED3"/>
    <w:rsid w:val="004047ED"/>
    <w:rsid w:val="00405B2E"/>
    <w:rsid w:val="004074DC"/>
    <w:rsid w:val="00410B6E"/>
    <w:rsid w:val="004119D7"/>
    <w:rsid w:val="00411E1F"/>
    <w:rsid w:val="00413342"/>
    <w:rsid w:val="00415AFA"/>
    <w:rsid w:val="004163FA"/>
    <w:rsid w:val="00424F10"/>
    <w:rsid w:val="004304DB"/>
    <w:rsid w:val="0043790B"/>
    <w:rsid w:val="00442263"/>
    <w:rsid w:val="00442AED"/>
    <w:rsid w:val="00452953"/>
    <w:rsid w:val="00452C13"/>
    <w:rsid w:val="00460418"/>
    <w:rsid w:val="004659E9"/>
    <w:rsid w:val="00472716"/>
    <w:rsid w:val="00480B5B"/>
    <w:rsid w:val="00481A59"/>
    <w:rsid w:val="00484110"/>
    <w:rsid w:val="00490CDA"/>
    <w:rsid w:val="00496DC2"/>
    <w:rsid w:val="004970CD"/>
    <w:rsid w:val="004A3451"/>
    <w:rsid w:val="004A536A"/>
    <w:rsid w:val="004A5C0F"/>
    <w:rsid w:val="004B2DA5"/>
    <w:rsid w:val="004D0151"/>
    <w:rsid w:val="004D1465"/>
    <w:rsid w:val="004D1812"/>
    <w:rsid w:val="004D2105"/>
    <w:rsid w:val="004D2F37"/>
    <w:rsid w:val="004D40D8"/>
    <w:rsid w:val="004D638D"/>
    <w:rsid w:val="004E4FAB"/>
    <w:rsid w:val="004F2FD8"/>
    <w:rsid w:val="004F39EE"/>
    <w:rsid w:val="004F6A31"/>
    <w:rsid w:val="004F7E27"/>
    <w:rsid w:val="00501699"/>
    <w:rsid w:val="00502DF7"/>
    <w:rsid w:val="00503DCA"/>
    <w:rsid w:val="005040E8"/>
    <w:rsid w:val="00510688"/>
    <w:rsid w:val="0052037F"/>
    <w:rsid w:val="00532525"/>
    <w:rsid w:val="005407A8"/>
    <w:rsid w:val="005416EC"/>
    <w:rsid w:val="00541CD6"/>
    <w:rsid w:val="00544AE5"/>
    <w:rsid w:val="00544B49"/>
    <w:rsid w:val="00545241"/>
    <w:rsid w:val="00546098"/>
    <w:rsid w:val="0055096F"/>
    <w:rsid w:val="005626A6"/>
    <w:rsid w:val="0056484F"/>
    <w:rsid w:val="00567728"/>
    <w:rsid w:val="00570528"/>
    <w:rsid w:val="0057361B"/>
    <w:rsid w:val="005836CF"/>
    <w:rsid w:val="0059285D"/>
    <w:rsid w:val="00597E92"/>
    <w:rsid w:val="005A0FA6"/>
    <w:rsid w:val="005A3EC4"/>
    <w:rsid w:val="005A5C01"/>
    <w:rsid w:val="005B2D87"/>
    <w:rsid w:val="005B4289"/>
    <w:rsid w:val="005C243A"/>
    <w:rsid w:val="005C269A"/>
    <w:rsid w:val="005C3D5A"/>
    <w:rsid w:val="005C5B0A"/>
    <w:rsid w:val="005C7A7A"/>
    <w:rsid w:val="005C7F6E"/>
    <w:rsid w:val="005D2CEB"/>
    <w:rsid w:val="005D3AA4"/>
    <w:rsid w:val="005D4DDB"/>
    <w:rsid w:val="005D5354"/>
    <w:rsid w:val="005D6D37"/>
    <w:rsid w:val="005D7313"/>
    <w:rsid w:val="005E1336"/>
    <w:rsid w:val="005E36E5"/>
    <w:rsid w:val="005E4EBB"/>
    <w:rsid w:val="005E5517"/>
    <w:rsid w:val="005F0ACA"/>
    <w:rsid w:val="005F2439"/>
    <w:rsid w:val="005F24C8"/>
    <w:rsid w:val="005F6094"/>
    <w:rsid w:val="006005DC"/>
    <w:rsid w:val="00603D48"/>
    <w:rsid w:val="00611E43"/>
    <w:rsid w:val="006124AF"/>
    <w:rsid w:val="00613668"/>
    <w:rsid w:val="006218C3"/>
    <w:rsid w:val="00622D63"/>
    <w:rsid w:val="00623964"/>
    <w:rsid w:val="00625F4C"/>
    <w:rsid w:val="006313C1"/>
    <w:rsid w:val="0063746B"/>
    <w:rsid w:val="00644413"/>
    <w:rsid w:val="00645A5A"/>
    <w:rsid w:val="00650674"/>
    <w:rsid w:val="0065167B"/>
    <w:rsid w:val="00653CF4"/>
    <w:rsid w:val="00655A45"/>
    <w:rsid w:val="00656716"/>
    <w:rsid w:val="00656E67"/>
    <w:rsid w:val="006617B6"/>
    <w:rsid w:val="00670020"/>
    <w:rsid w:val="0067117F"/>
    <w:rsid w:val="00677DD2"/>
    <w:rsid w:val="00681894"/>
    <w:rsid w:val="006824E3"/>
    <w:rsid w:val="00682E2E"/>
    <w:rsid w:val="00682E76"/>
    <w:rsid w:val="00684925"/>
    <w:rsid w:val="006874F1"/>
    <w:rsid w:val="006877FF"/>
    <w:rsid w:val="006917F6"/>
    <w:rsid w:val="006A5736"/>
    <w:rsid w:val="006B331C"/>
    <w:rsid w:val="006C36D2"/>
    <w:rsid w:val="006C5C5E"/>
    <w:rsid w:val="006D138C"/>
    <w:rsid w:val="006D244B"/>
    <w:rsid w:val="006D6CD5"/>
    <w:rsid w:val="006D7987"/>
    <w:rsid w:val="006E1E04"/>
    <w:rsid w:val="006E3735"/>
    <w:rsid w:val="006F2280"/>
    <w:rsid w:val="006F75EA"/>
    <w:rsid w:val="006F7A7F"/>
    <w:rsid w:val="0070364A"/>
    <w:rsid w:val="00707271"/>
    <w:rsid w:val="00711C08"/>
    <w:rsid w:val="007133E7"/>
    <w:rsid w:val="007156F0"/>
    <w:rsid w:val="00715B0F"/>
    <w:rsid w:val="0071734C"/>
    <w:rsid w:val="00717CCA"/>
    <w:rsid w:val="007237ED"/>
    <w:rsid w:val="00725C13"/>
    <w:rsid w:val="00725D1B"/>
    <w:rsid w:val="007346E5"/>
    <w:rsid w:val="0074184D"/>
    <w:rsid w:val="00742C2E"/>
    <w:rsid w:val="00744E4E"/>
    <w:rsid w:val="007457C6"/>
    <w:rsid w:val="00745800"/>
    <w:rsid w:val="00746855"/>
    <w:rsid w:val="007506C1"/>
    <w:rsid w:val="007514DC"/>
    <w:rsid w:val="007541B3"/>
    <w:rsid w:val="0075504F"/>
    <w:rsid w:val="007551C6"/>
    <w:rsid w:val="007609DB"/>
    <w:rsid w:val="007649D9"/>
    <w:rsid w:val="007650A1"/>
    <w:rsid w:val="00765DB7"/>
    <w:rsid w:val="0076625A"/>
    <w:rsid w:val="007677B0"/>
    <w:rsid w:val="007713F8"/>
    <w:rsid w:val="00773554"/>
    <w:rsid w:val="00774022"/>
    <w:rsid w:val="0077455D"/>
    <w:rsid w:val="00777C37"/>
    <w:rsid w:val="00780D06"/>
    <w:rsid w:val="007812FA"/>
    <w:rsid w:val="007824DD"/>
    <w:rsid w:val="00782AD6"/>
    <w:rsid w:val="00785BEB"/>
    <w:rsid w:val="007879F2"/>
    <w:rsid w:val="007926DF"/>
    <w:rsid w:val="00794C11"/>
    <w:rsid w:val="007B175D"/>
    <w:rsid w:val="007B2EBF"/>
    <w:rsid w:val="007B2EE3"/>
    <w:rsid w:val="007B76C3"/>
    <w:rsid w:val="007B7870"/>
    <w:rsid w:val="007C5ABD"/>
    <w:rsid w:val="007D6780"/>
    <w:rsid w:val="007E11CF"/>
    <w:rsid w:val="007E1AD1"/>
    <w:rsid w:val="007E4FF9"/>
    <w:rsid w:val="007E589B"/>
    <w:rsid w:val="007F2702"/>
    <w:rsid w:val="007F2D8B"/>
    <w:rsid w:val="007F3ED1"/>
    <w:rsid w:val="007F4763"/>
    <w:rsid w:val="0080160B"/>
    <w:rsid w:val="00804523"/>
    <w:rsid w:val="00811595"/>
    <w:rsid w:val="008165BB"/>
    <w:rsid w:val="008178CA"/>
    <w:rsid w:val="00817A0A"/>
    <w:rsid w:val="00821454"/>
    <w:rsid w:val="0082388A"/>
    <w:rsid w:val="00825DA7"/>
    <w:rsid w:val="00827AC1"/>
    <w:rsid w:val="00841B2A"/>
    <w:rsid w:val="00844722"/>
    <w:rsid w:val="00845301"/>
    <w:rsid w:val="008513CF"/>
    <w:rsid w:val="0085564A"/>
    <w:rsid w:val="00855728"/>
    <w:rsid w:val="008727AB"/>
    <w:rsid w:val="00872D7C"/>
    <w:rsid w:val="00874A28"/>
    <w:rsid w:val="0087709A"/>
    <w:rsid w:val="00877FB8"/>
    <w:rsid w:val="008800AC"/>
    <w:rsid w:val="00882FF1"/>
    <w:rsid w:val="00884ED0"/>
    <w:rsid w:val="008858F0"/>
    <w:rsid w:val="00887CD0"/>
    <w:rsid w:val="00895096"/>
    <w:rsid w:val="00896075"/>
    <w:rsid w:val="00897869"/>
    <w:rsid w:val="008A094F"/>
    <w:rsid w:val="008A58F2"/>
    <w:rsid w:val="008A625E"/>
    <w:rsid w:val="008B3B37"/>
    <w:rsid w:val="008B4382"/>
    <w:rsid w:val="008C1552"/>
    <w:rsid w:val="008C5192"/>
    <w:rsid w:val="008D0E79"/>
    <w:rsid w:val="008D2B17"/>
    <w:rsid w:val="008D2D14"/>
    <w:rsid w:val="008D396B"/>
    <w:rsid w:val="008D42FA"/>
    <w:rsid w:val="008D44A4"/>
    <w:rsid w:val="008D543E"/>
    <w:rsid w:val="008D6AB7"/>
    <w:rsid w:val="008E4CE6"/>
    <w:rsid w:val="008E5ACA"/>
    <w:rsid w:val="009034CA"/>
    <w:rsid w:val="00904E71"/>
    <w:rsid w:val="0091074F"/>
    <w:rsid w:val="00911E89"/>
    <w:rsid w:val="009161D5"/>
    <w:rsid w:val="00920FB1"/>
    <w:rsid w:val="00922B29"/>
    <w:rsid w:val="0094783C"/>
    <w:rsid w:val="00950187"/>
    <w:rsid w:val="009508D0"/>
    <w:rsid w:val="0096079F"/>
    <w:rsid w:val="00960912"/>
    <w:rsid w:val="0096100D"/>
    <w:rsid w:val="00966D42"/>
    <w:rsid w:val="00966FE0"/>
    <w:rsid w:val="00970507"/>
    <w:rsid w:val="00976A9D"/>
    <w:rsid w:val="00977494"/>
    <w:rsid w:val="00977EB3"/>
    <w:rsid w:val="00984AE7"/>
    <w:rsid w:val="009858B8"/>
    <w:rsid w:val="00987428"/>
    <w:rsid w:val="00987C37"/>
    <w:rsid w:val="0099182A"/>
    <w:rsid w:val="009929B1"/>
    <w:rsid w:val="009A3647"/>
    <w:rsid w:val="009A3C72"/>
    <w:rsid w:val="009A44E7"/>
    <w:rsid w:val="009A6F66"/>
    <w:rsid w:val="009B0D85"/>
    <w:rsid w:val="009B40B8"/>
    <w:rsid w:val="009B65BD"/>
    <w:rsid w:val="009C6025"/>
    <w:rsid w:val="009D4719"/>
    <w:rsid w:val="009D491A"/>
    <w:rsid w:val="009D785A"/>
    <w:rsid w:val="009E009B"/>
    <w:rsid w:val="009E280C"/>
    <w:rsid w:val="009E3834"/>
    <w:rsid w:val="009E69C7"/>
    <w:rsid w:val="009F079E"/>
    <w:rsid w:val="009F5EEE"/>
    <w:rsid w:val="009F6226"/>
    <w:rsid w:val="00A00C08"/>
    <w:rsid w:val="00A038AD"/>
    <w:rsid w:val="00A06BA2"/>
    <w:rsid w:val="00A13992"/>
    <w:rsid w:val="00A17F99"/>
    <w:rsid w:val="00A206E1"/>
    <w:rsid w:val="00A22C3E"/>
    <w:rsid w:val="00A24B5D"/>
    <w:rsid w:val="00A27B0A"/>
    <w:rsid w:val="00A30DE7"/>
    <w:rsid w:val="00A326D3"/>
    <w:rsid w:val="00A34E19"/>
    <w:rsid w:val="00A35AEC"/>
    <w:rsid w:val="00A41599"/>
    <w:rsid w:val="00A41BC7"/>
    <w:rsid w:val="00A46A8F"/>
    <w:rsid w:val="00A5062A"/>
    <w:rsid w:val="00A50665"/>
    <w:rsid w:val="00A55B7A"/>
    <w:rsid w:val="00A57A87"/>
    <w:rsid w:val="00A60A05"/>
    <w:rsid w:val="00A62064"/>
    <w:rsid w:val="00A63C6D"/>
    <w:rsid w:val="00A65728"/>
    <w:rsid w:val="00A6590C"/>
    <w:rsid w:val="00A70ED1"/>
    <w:rsid w:val="00A7183E"/>
    <w:rsid w:val="00A72F8B"/>
    <w:rsid w:val="00A73E28"/>
    <w:rsid w:val="00A73E38"/>
    <w:rsid w:val="00A84D7E"/>
    <w:rsid w:val="00A875A3"/>
    <w:rsid w:val="00A92C10"/>
    <w:rsid w:val="00AA2B14"/>
    <w:rsid w:val="00AA3A7C"/>
    <w:rsid w:val="00AB233F"/>
    <w:rsid w:val="00AB4678"/>
    <w:rsid w:val="00AB48E5"/>
    <w:rsid w:val="00AC43E5"/>
    <w:rsid w:val="00AC4AAD"/>
    <w:rsid w:val="00AC752A"/>
    <w:rsid w:val="00AF3DFA"/>
    <w:rsid w:val="00AF3F1A"/>
    <w:rsid w:val="00B016E6"/>
    <w:rsid w:val="00B01F5F"/>
    <w:rsid w:val="00B02EB1"/>
    <w:rsid w:val="00B046BE"/>
    <w:rsid w:val="00B04D26"/>
    <w:rsid w:val="00B0798F"/>
    <w:rsid w:val="00B130B2"/>
    <w:rsid w:val="00B14B4D"/>
    <w:rsid w:val="00B25B77"/>
    <w:rsid w:val="00B274B7"/>
    <w:rsid w:val="00B35096"/>
    <w:rsid w:val="00B36431"/>
    <w:rsid w:val="00B372E4"/>
    <w:rsid w:val="00B41041"/>
    <w:rsid w:val="00B422EE"/>
    <w:rsid w:val="00B46C7D"/>
    <w:rsid w:val="00B5214E"/>
    <w:rsid w:val="00B548C9"/>
    <w:rsid w:val="00B55A2E"/>
    <w:rsid w:val="00B56779"/>
    <w:rsid w:val="00B712CF"/>
    <w:rsid w:val="00B71C28"/>
    <w:rsid w:val="00B771C4"/>
    <w:rsid w:val="00B8461D"/>
    <w:rsid w:val="00B8708A"/>
    <w:rsid w:val="00B87C03"/>
    <w:rsid w:val="00B938A2"/>
    <w:rsid w:val="00B94916"/>
    <w:rsid w:val="00BA0670"/>
    <w:rsid w:val="00BA6692"/>
    <w:rsid w:val="00BC57B5"/>
    <w:rsid w:val="00BC67F3"/>
    <w:rsid w:val="00BD0587"/>
    <w:rsid w:val="00BD25AE"/>
    <w:rsid w:val="00BD28C6"/>
    <w:rsid w:val="00BD3D4A"/>
    <w:rsid w:val="00BD6A88"/>
    <w:rsid w:val="00BE5C2D"/>
    <w:rsid w:val="00BF03DF"/>
    <w:rsid w:val="00BF4911"/>
    <w:rsid w:val="00BF74D5"/>
    <w:rsid w:val="00C01AB1"/>
    <w:rsid w:val="00C01D4D"/>
    <w:rsid w:val="00C04C9C"/>
    <w:rsid w:val="00C12E1F"/>
    <w:rsid w:val="00C12E9D"/>
    <w:rsid w:val="00C247FA"/>
    <w:rsid w:val="00C302EC"/>
    <w:rsid w:val="00C33273"/>
    <w:rsid w:val="00C40162"/>
    <w:rsid w:val="00C40ACD"/>
    <w:rsid w:val="00C45B79"/>
    <w:rsid w:val="00C47519"/>
    <w:rsid w:val="00C5033A"/>
    <w:rsid w:val="00C5067C"/>
    <w:rsid w:val="00C53852"/>
    <w:rsid w:val="00C669EC"/>
    <w:rsid w:val="00C70D7E"/>
    <w:rsid w:val="00C7119A"/>
    <w:rsid w:val="00C71FC3"/>
    <w:rsid w:val="00C73715"/>
    <w:rsid w:val="00C84893"/>
    <w:rsid w:val="00C870B9"/>
    <w:rsid w:val="00C9240C"/>
    <w:rsid w:val="00C976F1"/>
    <w:rsid w:val="00CA22B5"/>
    <w:rsid w:val="00CA4B58"/>
    <w:rsid w:val="00CA4EE4"/>
    <w:rsid w:val="00CA67E0"/>
    <w:rsid w:val="00CA6EA0"/>
    <w:rsid w:val="00CB2D9A"/>
    <w:rsid w:val="00CB6037"/>
    <w:rsid w:val="00CC1BE6"/>
    <w:rsid w:val="00CC5A92"/>
    <w:rsid w:val="00CC7402"/>
    <w:rsid w:val="00CC758E"/>
    <w:rsid w:val="00CD0779"/>
    <w:rsid w:val="00CD1665"/>
    <w:rsid w:val="00CD3D1A"/>
    <w:rsid w:val="00CE0F99"/>
    <w:rsid w:val="00CE402E"/>
    <w:rsid w:val="00CE4553"/>
    <w:rsid w:val="00CE7C5E"/>
    <w:rsid w:val="00CF2F3B"/>
    <w:rsid w:val="00CF4C10"/>
    <w:rsid w:val="00CF5C6B"/>
    <w:rsid w:val="00D04238"/>
    <w:rsid w:val="00D05FEF"/>
    <w:rsid w:val="00D147F8"/>
    <w:rsid w:val="00D159D8"/>
    <w:rsid w:val="00D15D46"/>
    <w:rsid w:val="00D17A45"/>
    <w:rsid w:val="00D22794"/>
    <w:rsid w:val="00D24469"/>
    <w:rsid w:val="00D2748A"/>
    <w:rsid w:val="00D3120A"/>
    <w:rsid w:val="00D35B67"/>
    <w:rsid w:val="00D409D5"/>
    <w:rsid w:val="00D41A9F"/>
    <w:rsid w:val="00D42654"/>
    <w:rsid w:val="00D45A36"/>
    <w:rsid w:val="00D50393"/>
    <w:rsid w:val="00D54092"/>
    <w:rsid w:val="00D5507F"/>
    <w:rsid w:val="00D60A9C"/>
    <w:rsid w:val="00D7455A"/>
    <w:rsid w:val="00D772AB"/>
    <w:rsid w:val="00D777C3"/>
    <w:rsid w:val="00D85B5B"/>
    <w:rsid w:val="00D85F6B"/>
    <w:rsid w:val="00D85F80"/>
    <w:rsid w:val="00D87C63"/>
    <w:rsid w:val="00D9162E"/>
    <w:rsid w:val="00DA4461"/>
    <w:rsid w:val="00DA46B9"/>
    <w:rsid w:val="00DA4E71"/>
    <w:rsid w:val="00DA64CA"/>
    <w:rsid w:val="00DA777A"/>
    <w:rsid w:val="00DC5611"/>
    <w:rsid w:val="00DC73E2"/>
    <w:rsid w:val="00DC7AD9"/>
    <w:rsid w:val="00DD1DB7"/>
    <w:rsid w:val="00DE0A32"/>
    <w:rsid w:val="00DE13FF"/>
    <w:rsid w:val="00DE38CE"/>
    <w:rsid w:val="00DE6BBA"/>
    <w:rsid w:val="00DF0922"/>
    <w:rsid w:val="00DF4CB9"/>
    <w:rsid w:val="00DF5CC6"/>
    <w:rsid w:val="00DF6F81"/>
    <w:rsid w:val="00E0033D"/>
    <w:rsid w:val="00E02244"/>
    <w:rsid w:val="00E04090"/>
    <w:rsid w:val="00E05832"/>
    <w:rsid w:val="00E07E69"/>
    <w:rsid w:val="00E163B7"/>
    <w:rsid w:val="00E17440"/>
    <w:rsid w:val="00E20348"/>
    <w:rsid w:val="00E22785"/>
    <w:rsid w:val="00E24091"/>
    <w:rsid w:val="00E25CDC"/>
    <w:rsid w:val="00E25FA2"/>
    <w:rsid w:val="00E3150B"/>
    <w:rsid w:val="00E34E22"/>
    <w:rsid w:val="00E34FB6"/>
    <w:rsid w:val="00E35099"/>
    <w:rsid w:val="00E35383"/>
    <w:rsid w:val="00E50A15"/>
    <w:rsid w:val="00E50B98"/>
    <w:rsid w:val="00E50CF8"/>
    <w:rsid w:val="00E61345"/>
    <w:rsid w:val="00E6162D"/>
    <w:rsid w:val="00E6271C"/>
    <w:rsid w:val="00E62A1C"/>
    <w:rsid w:val="00E63703"/>
    <w:rsid w:val="00E6511E"/>
    <w:rsid w:val="00E67422"/>
    <w:rsid w:val="00E67669"/>
    <w:rsid w:val="00E7002B"/>
    <w:rsid w:val="00E71439"/>
    <w:rsid w:val="00E77F41"/>
    <w:rsid w:val="00E803D5"/>
    <w:rsid w:val="00E8245B"/>
    <w:rsid w:val="00E9669E"/>
    <w:rsid w:val="00E970D4"/>
    <w:rsid w:val="00EA00A2"/>
    <w:rsid w:val="00EA201A"/>
    <w:rsid w:val="00EA32BE"/>
    <w:rsid w:val="00EA5205"/>
    <w:rsid w:val="00EB4365"/>
    <w:rsid w:val="00EC0565"/>
    <w:rsid w:val="00EC5630"/>
    <w:rsid w:val="00EC59CF"/>
    <w:rsid w:val="00ED3D60"/>
    <w:rsid w:val="00ED7254"/>
    <w:rsid w:val="00EE004E"/>
    <w:rsid w:val="00EE7070"/>
    <w:rsid w:val="00EE7CF5"/>
    <w:rsid w:val="00EF1264"/>
    <w:rsid w:val="00F00F39"/>
    <w:rsid w:val="00F02248"/>
    <w:rsid w:val="00F16802"/>
    <w:rsid w:val="00F20DDC"/>
    <w:rsid w:val="00F23481"/>
    <w:rsid w:val="00F23A2A"/>
    <w:rsid w:val="00F23A3B"/>
    <w:rsid w:val="00F25875"/>
    <w:rsid w:val="00F33066"/>
    <w:rsid w:val="00F3559C"/>
    <w:rsid w:val="00F53F57"/>
    <w:rsid w:val="00F55F07"/>
    <w:rsid w:val="00F62354"/>
    <w:rsid w:val="00F6751B"/>
    <w:rsid w:val="00F73B9E"/>
    <w:rsid w:val="00F84AE3"/>
    <w:rsid w:val="00FA1300"/>
    <w:rsid w:val="00FA42CA"/>
    <w:rsid w:val="00FA5245"/>
    <w:rsid w:val="00FA7C44"/>
    <w:rsid w:val="00FB1BF0"/>
    <w:rsid w:val="00FB4DCD"/>
    <w:rsid w:val="00FB55CE"/>
    <w:rsid w:val="00FC0C2C"/>
    <w:rsid w:val="00FC3AD8"/>
    <w:rsid w:val="00FC3CE8"/>
    <w:rsid w:val="00FC4CBF"/>
    <w:rsid w:val="00FD000E"/>
    <w:rsid w:val="00FD0D0F"/>
    <w:rsid w:val="00FD66E1"/>
    <w:rsid w:val="00FD6B28"/>
    <w:rsid w:val="00FF0FA2"/>
    <w:rsid w:val="00FF2044"/>
    <w:rsid w:val="00FF7148"/>
    <w:rsid w:val="00FF7858"/>
    <w:rsid w:val="33878F9B"/>
    <w:rsid w:val="339C6F5B"/>
    <w:rsid w:val="43975C7C"/>
    <w:rsid w:val="460B8B16"/>
    <w:rsid w:val="47992E81"/>
    <w:rsid w:val="5BB098BF"/>
    <w:rsid w:val="66BAB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66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219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BodyText"/>
    <w:link w:val="Heading1Char"/>
    <w:qFormat/>
    <w:rsid w:val="00DE13FF"/>
    <w:pPr>
      <w:keepNext/>
      <w:keepLines/>
      <w:widowControl w:val="0"/>
      <w:spacing w:before="480" w:after="240"/>
      <w:outlineLvl w:val="0"/>
    </w:pPr>
    <w:rPr>
      <w:rFonts w:asciiTheme="majorHAnsi" w:eastAsia="Times New Roman" w:hAnsiTheme="majorHAnsi"/>
      <w:b/>
      <w:bCs/>
      <w:color w:val="4472C4" w:themeColor="accent1"/>
      <w:kern w:val="32"/>
      <w:sz w:val="40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0B2146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rsid w:val="000B2146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0B2146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0B2146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0B2146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0B2146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0B2146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0B2146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0B2146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0B2146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0B2146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0B2146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0B2146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0B2146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0B2146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0B2146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0B2146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table" w:styleId="TableGrid">
    <w:name w:val="Table Grid"/>
    <w:basedOn w:val="TableNormal"/>
    <w:uiPriority w:val="39"/>
    <w:rsid w:val="00502DF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02DF7"/>
    <w:pPr>
      <w:widowControl w:val="0"/>
      <w:autoSpaceDE w:val="0"/>
      <w:autoSpaceDN w:val="0"/>
      <w:spacing w:before="80"/>
      <w:ind w:left="115"/>
    </w:pPr>
    <w:rPr>
      <w:rFonts w:ascii="Times New Roman" w:eastAsia="Times New Roman" w:hAnsi="Times New Roman" w:cs="Times New Roman"/>
      <w:lang w:val="en-US"/>
    </w:rPr>
  </w:style>
  <w:style w:type="paragraph" w:customStyle="1" w:styleId="Tableheadings">
    <w:name w:val="Table headings"/>
    <w:basedOn w:val="Normal"/>
    <w:rsid w:val="00502DF7"/>
    <w:pPr>
      <w:spacing w:line="264" w:lineRule="auto"/>
    </w:pPr>
    <w:rPr>
      <w:rFonts w:eastAsia="Times New Roman" w:cs="Times New Roman"/>
      <w:b/>
      <w:bCs/>
      <w:color w:val="FFFFFF"/>
      <w:sz w:val="24"/>
      <w:szCs w:val="20"/>
    </w:rPr>
  </w:style>
  <w:style w:type="character" w:customStyle="1" w:styleId="normaltextrun">
    <w:name w:val="normaltextrun"/>
    <w:basedOn w:val="DefaultParagraphFont"/>
    <w:rsid w:val="00502DF7"/>
  </w:style>
  <w:style w:type="paragraph" w:styleId="ListParagraph">
    <w:name w:val="List Paragraph"/>
    <w:basedOn w:val="Normal"/>
    <w:uiPriority w:val="34"/>
    <w:qFormat/>
    <w:rsid w:val="007F2D8B"/>
    <w:pPr>
      <w:ind w:left="720"/>
      <w:contextualSpacing/>
    </w:pPr>
  </w:style>
  <w:style w:type="paragraph" w:styleId="Revision">
    <w:name w:val="Revision"/>
    <w:hidden/>
    <w:uiPriority w:val="99"/>
    <w:semiHidden/>
    <w:rsid w:val="003D2C15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11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C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CE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CE1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E13FF"/>
    <w:rPr>
      <w:rFonts w:asciiTheme="majorHAnsi" w:eastAsia="Times New Roman" w:hAnsiTheme="majorHAnsi" w:cs="Arial"/>
      <w:b/>
      <w:bCs/>
      <w:color w:val="4472C4" w:themeColor="accent1"/>
      <w:kern w:val="32"/>
      <w:sz w:val="40"/>
      <w:szCs w:val="32"/>
      <w:lang w:eastAsia="en-AU"/>
    </w:rPr>
  </w:style>
  <w:style w:type="paragraph" w:customStyle="1" w:styleId="TableHeading">
    <w:name w:val="Table Heading"/>
    <w:basedOn w:val="Normal"/>
    <w:next w:val="BodyText"/>
    <w:uiPriority w:val="3"/>
    <w:qFormat/>
    <w:rsid w:val="00DE13FF"/>
    <w:pPr>
      <w:spacing w:before="60" w:after="60"/>
    </w:pPr>
    <w:rPr>
      <w:rFonts w:asciiTheme="minorHAnsi" w:hAnsiTheme="minorHAnsi" w:cstheme="minorBidi"/>
      <w:b/>
      <w:sz w:val="18"/>
    </w:rPr>
  </w:style>
  <w:style w:type="paragraph" w:customStyle="1" w:styleId="TableText">
    <w:name w:val="Table Text"/>
    <w:basedOn w:val="Normal"/>
    <w:uiPriority w:val="3"/>
    <w:qFormat/>
    <w:rsid w:val="00DE13FF"/>
    <w:pPr>
      <w:spacing w:before="60" w:after="60"/>
    </w:pPr>
    <w:rPr>
      <w:rFonts w:asciiTheme="minorHAnsi" w:hAnsiTheme="minorHAnsi" w:cstheme="minorBidi"/>
      <w:sz w:val="18"/>
    </w:rPr>
  </w:style>
  <w:style w:type="table" w:customStyle="1" w:styleId="NavyTable">
    <w:name w:val="Navy Table"/>
    <w:basedOn w:val="TableNormal"/>
    <w:uiPriority w:val="99"/>
    <w:rsid w:val="00DE13FF"/>
    <w:pPr>
      <w:spacing w:after="0" w:line="240" w:lineRule="auto"/>
    </w:pPr>
    <w:tblPr>
      <w:tblStyleRowBandSize w:val="1"/>
      <w:tblStyleColBandSize w:val="1"/>
      <w:tblInd w:w="108" w:type="dxa"/>
      <w:tblBorders>
        <w:bottom w:val="single" w:sz="4" w:space="0" w:color="4472C4" w:themeColor="accent1"/>
        <w:insideH w:val="single" w:sz="4" w:space="0" w:color="4472C4" w:themeColor="accent1"/>
        <w:insideV w:val="single" w:sz="4" w:space="0" w:color="FFFFFF" w:themeColor="background1"/>
      </w:tblBorders>
    </w:tblPr>
    <w:trPr>
      <w:cantSplit/>
    </w:tr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4472C4" w:themeFill="accent1"/>
      </w:tcPr>
    </w:tblStylePr>
    <w:tblStylePr w:type="lastRow">
      <w:rPr>
        <w:b w:val="0"/>
      </w:rPr>
      <w:tblPr/>
      <w:tcPr>
        <w:shd w:val="clear" w:color="auto" w:fill="99B1C3"/>
      </w:tcPr>
    </w:tblStylePr>
    <w:tblStylePr w:type="firstCol">
      <w:tblPr/>
      <w:tcPr>
        <w:tcBorders>
          <w:insideH w:val="nil"/>
        </w:tcBorders>
        <w:shd w:val="clear" w:color="auto" w:fill="4472C4" w:themeFill="accent1"/>
      </w:tcPr>
    </w:tblStylePr>
    <w:tblStylePr w:type="band2Vert">
      <w:tblPr/>
      <w:tcPr>
        <w:shd w:val="clear" w:color="auto" w:fill="CCD8E1"/>
      </w:tcPr>
    </w:tblStylePr>
    <w:tblStylePr w:type="band2Horz">
      <w:tblPr/>
      <w:tcPr>
        <w:shd w:val="clear" w:color="auto" w:fill="CCD8E1"/>
      </w:tcPr>
    </w:tblStylePr>
  </w:style>
  <w:style w:type="table" w:styleId="GridTable3">
    <w:name w:val="Grid Table 3"/>
    <w:basedOn w:val="TableNormal"/>
    <w:uiPriority w:val="48"/>
    <w:rsid w:val="007B17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45B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2026-06-30T01:17:00Z</dcterms:created>
  <dcterms:modified xsi:type="dcterms:W3CDTF">2026-06-30T01:17:00Z</dcterms:modified>
</cp:coreProperties>
</file>