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3003" w14:textId="77777777" w:rsidR="00AE1081" w:rsidRPr="00AE1081" w:rsidRDefault="00AE1081" w:rsidP="00000745">
      <w:pPr>
        <w:pStyle w:val="HeadingPartChapter"/>
      </w:pPr>
      <w:r w:rsidRPr="00AE1081">
        <w:t xml:space="preserve">Checklist – </w:t>
      </w:r>
      <w:r w:rsidR="007D19AC" w:rsidRPr="007D19AC">
        <w:t>CAC0</w:t>
      </w:r>
      <w:r w:rsidR="0041035C">
        <w:t>6</w:t>
      </w:r>
      <w:r w:rsidR="0070015C">
        <w:t>8</w:t>
      </w:r>
      <w:r w:rsidR="007D19AC" w:rsidRPr="007D19AC">
        <w:t>M</w:t>
      </w:r>
      <w:r w:rsidRPr="00AE1081">
        <w:br/>
      </w:r>
      <w:r w:rsidR="0070015C">
        <w:t>Severe Weather Management Plan (Conditions of Contract)</w:t>
      </w:r>
    </w:p>
    <w:tbl>
      <w:tblPr>
        <w:tblStyle w:val="TableGrid"/>
        <w:tblW w:w="13995" w:type="dxa"/>
        <w:tblLook w:val="04A0" w:firstRow="1" w:lastRow="0" w:firstColumn="1" w:lastColumn="0" w:noHBand="0" w:noVBand="1"/>
      </w:tblPr>
      <w:tblGrid>
        <w:gridCol w:w="1587"/>
        <w:gridCol w:w="3078"/>
        <w:gridCol w:w="1587"/>
        <w:gridCol w:w="3078"/>
        <w:gridCol w:w="1587"/>
        <w:gridCol w:w="3078"/>
      </w:tblGrid>
      <w:tr w:rsidR="00AE1081" w:rsidRPr="00AE1081" w14:paraId="6CA6D018" w14:textId="77777777" w:rsidTr="00285CCE">
        <w:trPr>
          <w:trHeight w:val="454"/>
        </w:trPr>
        <w:tc>
          <w:tcPr>
            <w:tcW w:w="1587" w:type="dxa"/>
          </w:tcPr>
          <w:p w14:paraId="31B49A2A" w14:textId="77777777" w:rsidR="00AE1081" w:rsidRPr="00AE1081" w:rsidRDefault="00AE1081" w:rsidP="0070015C">
            <w:pPr>
              <w:pStyle w:val="TableBodyText"/>
              <w:keepNext w:val="0"/>
              <w:keepLines w:val="0"/>
              <w:widowControl w:val="0"/>
              <w:rPr>
                <w:b/>
              </w:rPr>
            </w:pPr>
            <w:r w:rsidRPr="00AE1081">
              <w:rPr>
                <w:b/>
              </w:rPr>
              <w:t>Contractor</w:t>
            </w:r>
          </w:p>
        </w:tc>
        <w:tc>
          <w:tcPr>
            <w:tcW w:w="3078" w:type="dxa"/>
          </w:tcPr>
          <w:p w14:paraId="788B1B24" w14:textId="579323FB" w:rsidR="00AE1081" w:rsidRPr="00AE1081" w:rsidRDefault="00AE1081" w:rsidP="002021CC">
            <w:pPr>
              <w:pStyle w:val="TableBodyText"/>
              <w:keepNext w:val="0"/>
              <w:keepLines w:val="0"/>
              <w:widowControl w:val="0"/>
              <w:ind w:left="0"/>
            </w:pPr>
          </w:p>
        </w:tc>
        <w:tc>
          <w:tcPr>
            <w:tcW w:w="1587" w:type="dxa"/>
          </w:tcPr>
          <w:p w14:paraId="0B9D24C6" w14:textId="77777777" w:rsidR="00AE1081" w:rsidRPr="00AE1081" w:rsidRDefault="00AE1081" w:rsidP="0070015C">
            <w:pPr>
              <w:pStyle w:val="TableBodyText"/>
              <w:keepNext w:val="0"/>
              <w:keepLines w:val="0"/>
              <w:widowControl w:val="0"/>
              <w:rPr>
                <w:b/>
              </w:rPr>
            </w:pPr>
            <w:r w:rsidRPr="00AE1081">
              <w:rPr>
                <w:b/>
              </w:rPr>
              <w:t>Date</w:t>
            </w:r>
          </w:p>
        </w:tc>
        <w:tc>
          <w:tcPr>
            <w:tcW w:w="3078" w:type="dxa"/>
          </w:tcPr>
          <w:p w14:paraId="26987A9A" w14:textId="77777777" w:rsidR="00AE1081" w:rsidRPr="00AE1081" w:rsidRDefault="00AE1081" w:rsidP="0070015C">
            <w:pPr>
              <w:pStyle w:val="TableBodyText"/>
              <w:keepNext w:val="0"/>
              <w:keepLines w:val="0"/>
              <w:widowControl w:val="0"/>
            </w:pPr>
          </w:p>
        </w:tc>
        <w:tc>
          <w:tcPr>
            <w:tcW w:w="1587" w:type="dxa"/>
          </w:tcPr>
          <w:p w14:paraId="42A4220A" w14:textId="77777777" w:rsidR="00AE1081" w:rsidRPr="00AE1081" w:rsidRDefault="00AE1081" w:rsidP="0070015C">
            <w:pPr>
              <w:pStyle w:val="TableBodyText"/>
              <w:keepNext w:val="0"/>
              <w:keepLines w:val="0"/>
              <w:widowControl w:val="0"/>
              <w:rPr>
                <w:b/>
              </w:rPr>
            </w:pPr>
            <w:r w:rsidRPr="00AE1081">
              <w:rPr>
                <w:b/>
              </w:rPr>
              <w:t>Review No.</w:t>
            </w:r>
          </w:p>
        </w:tc>
        <w:tc>
          <w:tcPr>
            <w:tcW w:w="3078" w:type="dxa"/>
          </w:tcPr>
          <w:p w14:paraId="2DBAA709" w14:textId="77777777" w:rsidR="00AE1081" w:rsidRPr="00AE1081" w:rsidRDefault="00AE1081" w:rsidP="0070015C">
            <w:pPr>
              <w:pStyle w:val="TableBodyText"/>
              <w:keepNext w:val="0"/>
              <w:keepLines w:val="0"/>
              <w:widowControl w:val="0"/>
            </w:pPr>
          </w:p>
        </w:tc>
      </w:tr>
      <w:tr w:rsidR="00AE1081" w:rsidRPr="00AE1081" w14:paraId="401E0A60" w14:textId="77777777" w:rsidTr="00285CCE">
        <w:trPr>
          <w:trHeight w:val="454"/>
        </w:trPr>
        <w:tc>
          <w:tcPr>
            <w:tcW w:w="1587" w:type="dxa"/>
          </w:tcPr>
          <w:p w14:paraId="568A2207" w14:textId="77777777" w:rsidR="00AE1081" w:rsidRPr="00AE1081" w:rsidRDefault="00AE1081" w:rsidP="0070015C">
            <w:pPr>
              <w:pStyle w:val="TableBodyText"/>
              <w:keepNext w:val="0"/>
              <w:keepLines w:val="0"/>
              <w:widowControl w:val="0"/>
              <w:rPr>
                <w:b/>
              </w:rPr>
            </w:pPr>
            <w:r w:rsidRPr="00AE1081">
              <w:rPr>
                <w:b/>
              </w:rPr>
              <w:t>Contract No.</w:t>
            </w:r>
          </w:p>
        </w:tc>
        <w:tc>
          <w:tcPr>
            <w:tcW w:w="3078" w:type="dxa"/>
          </w:tcPr>
          <w:p w14:paraId="0C484362" w14:textId="77777777" w:rsidR="00AE1081" w:rsidRPr="00AE1081" w:rsidRDefault="00AE1081" w:rsidP="0070015C">
            <w:pPr>
              <w:pStyle w:val="TableBodyText"/>
              <w:keepNext w:val="0"/>
              <w:keepLines w:val="0"/>
              <w:widowControl w:val="0"/>
            </w:pPr>
          </w:p>
        </w:tc>
        <w:tc>
          <w:tcPr>
            <w:tcW w:w="1587" w:type="dxa"/>
          </w:tcPr>
          <w:p w14:paraId="4B4DBC1A" w14:textId="77777777" w:rsidR="00AE1081" w:rsidRPr="00AE1081" w:rsidRDefault="00AE1081" w:rsidP="0070015C">
            <w:pPr>
              <w:pStyle w:val="TableBodyText"/>
              <w:keepNext w:val="0"/>
              <w:keepLines w:val="0"/>
              <w:widowControl w:val="0"/>
              <w:rPr>
                <w:b/>
              </w:rPr>
            </w:pPr>
            <w:r w:rsidRPr="00AE1081">
              <w:rPr>
                <w:b/>
              </w:rPr>
              <w:t>Project No.</w:t>
            </w:r>
          </w:p>
        </w:tc>
        <w:tc>
          <w:tcPr>
            <w:tcW w:w="3078" w:type="dxa"/>
          </w:tcPr>
          <w:p w14:paraId="0035FF73" w14:textId="77777777" w:rsidR="00AE1081" w:rsidRPr="00AE1081" w:rsidRDefault="00AE1081" w:rsidP="0070015C">
            <w:pPr>
              <w:pStyle w:val="TableBodyText"/>
              <w:keepNext w:val="0"/>
              <w:keepLines w:val="0"/>
              <w:widowControl w:val="0"/>
            </w:pPr>
          </w:p>
        </w:tc>
        <w:tc>
          <w:tcPr>
            <w:tcW w:w="1587" w:type="dxa"/>
          </w:tcPr>
          <w:p w14:paraId="329595A0" w14:textId="77777777" w:rsidR="00AE1081" w:rsidRPr="00AE1081" w:rsidRDefault="00AE1081" w:rsidP="0070015C">
            <w:pPr>
              <w:pStyle w:val="TableBodyText"/>
              <w:keepNext w:val="0"/>
              <w:keepLines w:val="0"/>
              <w:widowControl w:val="0"/>
              <w:rPr>
                <w:b/>
              </w:rPr>
            </w:pPr>
            <w:r w:rsidRPr="00AE1081">
              <w:rPr>
                <w:b/>
              </w:rPr>
              <w:t>Project Name</w:t>
            </w:r>
          </w:p>
        </w:tc>
        <w:tc>
          <w:tcPr>
            <w:tcW w:w="3078" w:type="dxa"/>
          </w:tcPr>
          <w:p w14:paraId="2F99F378" w14:textId="77777777" w:rsidR="00AE1081" w:rsidRPr="00AE1081" w:rsidRDefault="00AE1081" w:rsidP="0070015C">
            <w:pPr>
              <w:pStyle w:val="TableBodyText"/>
              <w:keepNext w:val="0"/>
              <w:keepLines w:val="0"/>
              <w:widowControl w:val="0"/>
            </w:pPr>
          </w:p>
        </w:tc>
      </w:tr>
    </w:tbl>
    <w:p w14:paraId="5B80DF2A" w14:textId="77777777" w:rsidR="00AE1081" w:rsidRDefault="00AE1081" w:rsidP="00B63352"/>
    <w:tbl>
      <w:tblPr>
        <w:tblStyle w:val="TableGrid"/>
        <w:tblW w:w="0" w:type="auto"/>
        <w:tblLayout w:type="fixed"/>
        <w:tblLook w:val="04A0" w:firstRow="1" w:lastRow="0" w:firstColumn="1" w:lastColumn="0" w:noHBand="0" w:noVBand="1"/>
      </w:tblPr>
      <w:tblGrid>
        <w:gridCol w:w="2547"/>
        <w:gridCol w:w="4394"/>
        <w:gridCol w:w="1701"/>
        <w:gridCol w:w="5350"/>
      </w:tblGrid>
      <w:tr w:rsidR="00AE1081" w14:paraId="2F4683C1" w14:textId="77777777" w:rsidTr="007C4B1D">
        <w:trPr>
          <w:tblHeader/>
        </w:trPr>
        <w:tc>
          <w:tcPr>
            <w:tcW w:w="2547" w:type="dxa"/>
            <w:vAlign w:val="top"/>
          </w:tcPr>
          <w:p w14:paraId="79FE2360" w14:textId="77777777" w:rsidR="00AE1081" w:rsidRPr="005A77A0" w:rsidRDefault="00AE1081" w:rsidP="0070015C">
            <w:pPr>
              <w:pStyle w:val="TableHeading"/>
              <w:keepNext w:val="0"/>
              <w:keepLines w:val="0"/>
              <w:widowControl w:val="0"/>
            </w:pPr>
            <w:r w:rsidRPr="005A77A0">
              <w:t>Reference</w:t>
            </w:r>
          </w:p>
        </w:tc>
        <w:tc>
          <w:tcPr>
            <w:tcW w:w="4394" w:type="dxa"/>
            <w:vAlign w:val="top"/>
          </w:tcPr>
          <w:p w14:paraId="25A000E7" w14:textId="77777777" w:rsidR="00AE1081" w:rsidRPr="005A77A0" w:rsidRDefault="00AE1081" w:rsidP="0070015C">
            <w:pPr>
              <w:pStyle w:val="TableHeading"/>
              <w:keepNext w:val="0"/>
              <w:keepLines w:val="0"/>
              <w:widowControl w:val="0"/>
            </w:pPr>
            <w:r w:rsidRPr="005A77A0">
              <w:t>Requirements</w:t>
            </w:r>
          </w:p>
        </w:tc>
        <w:tc>
          <w:tcPr>
            <w:tcW w:w="1701" w:type="dxa"/>
            <w:vAlign w:val="top"/>
          </w:tcPr>
          <w:p w14:paraId="064F6E78" w14:textId="77777777" w:rsidR="00AE1081" w:rsidRPr="005A77A0" w:rsidRDefault="00AE1081" w:rsidP="0070015C">
            <w:pPr>
              <w:pStyle w:val="TableHeading"/>
              <w:keepNext w:val="0"/>
              <w:keepLines w:val="0"/>
              <w:widowControl w:val="0"/>
            </w:pPr>
            <w:r w:rsidRPr="005A77A0">
              <w:t>Addressed</w:t>
            </w:r>
          </w:p>
        </w:tc>
        <w:tc>
          <w:tcPr>
            <w:tcW w:w="5350" w:type="dxa"/>
            <w:vAlign w:val="top"/>
          </w:tcPr>
          <w:p w14:paraId="304DAF30" w14:textId="77777777" w:rsidR="00AE1081" w:rsidRDefault="00AE1081" w:rsidP="0070015C">
            <w:pPr>
              <w:pStyle w:val="TableHeading"/>
              <w:keepNext w:val="0"/>
              <w:keepLines w:val="0"/>
              <w:widowControl w:val="0"/>
            </w:pPr>
            <w:r w:rsidRPr="005A77A0">
              <w:t>Comments/Observations</w:t>
            </w:r>
          </w:p>
        </w:tc>
      </w:tr>
      <w:tr w:rsidR="0070015C" w14:paraId="13BBD054" w14:textId="77777777" w:rsidTr="00E23DC0">
        <w:trPr>
          <w:tblHeader/>
        </w:trPr>
        <w:tc>
          <w:tcPr>
            <w:tcW w:w="13992" w:type="dxa"/>
            <w:gridSpan w:val="4"/>
            <w:vAlign w:val="top"/>
          </w:tcPr>
          <w:p w14:paraId="3F39493F" w14:textId="77777777" w:rsidR="0070015C" w:rsidRPr="005A77A0" w:rsidRDefault="0070015C" w:rsidP="0070015C">
            <w:pPr>
              <w:pStyle w:val="TableHeading"/>
              <w:keepNext w:val="0"/>
              <w:keepLines w:val="0"/>
              <w:widowControl w:val="0"/>
            </w:pPr>
            <w:r>
              <w:t>Severe Weather Management Plan</w:t>
            </w:r>
          </w:p>
        </w:tc>
      </w:tr>
      <w:tr w:rsidR="0070015C" w14:paraId="2E3C5284" w14:textId="77777777" w:rsidTr="00F105A2">
        <w:tc>
          <w:tcPr>
            <w:tcW w:w="2547" w:type="dxa"/>
            <w:vAlign w:val="top"/>
          </w:tcPr>
          <w:p w14:paraId="2733E336" w14:textId="77777777" w:rsidR="0070015C" w:rsidRPr="00417B48" w:rsidRDefault="0070015C" w:rsidP="0070015C">
            <w:pPr>
              <w:pStyle w:val="TableBodyText"/>
              <w:keepNext w:val="0"/>
              <w:keepLines w:val="0"/>
              <w:widowControl w:val="0"/>
            </w:pPr>
            <w:r w:rsidRPr="0002348D">
              <w:t xml:space="preserve">GCC </w:t>
            </w:r>
            <w:r>
              <w:t>C</w:t>
            </w:r>
            <w:r w:rsidRPr="0002348D">
              <w:t>lause</w:t>
            </w:r>
            <w:r>
              <w:t> </w:t>
            </w:r>
            <w:r w:rsidRPr="0002348D">
              <w:t>16.2.2</w:t>
            </w:r>
          </w:p>
        </w:tc>
        <w:tc>
          <w:tcPr>
            <w:tcW w:w="4394" w:type="dxa"/>
            <w:vAlign w:val="top"/>
          </w:tcPr>
          <w:p w14:paraId="0CA0470B" w14:textId="77777777" w:rsidR="0070015C" w:rsidRDefault="0070015C" w:rsidP="000713CD">
            <w:pPr>
              <w:pStyle w:val="TableBodyText"/>
              <w:keepNext w:val="0"/>
              <w:keepLines w:val="0"/>
              <w:widowControl w:val="0"/>
              <w:numPr>
                <w:ilvl w:val="0"/>
                <w:numId w:val="15"/>
              </w:numPr>
            </w:pPr>
            <w:r>
              <w:t>The SWMP shall:</w:t>
            </w:r>
          </w:p>
          <w:p w14:paraId="7BD21BDA" w14:textId="22F383BE" w:rsidR="0070015C" w:rsidRDefault="0070015C" w:rsidP="000713CD">
            <w:pPr>
              <w:pStyle w:val="TableBodyText"/>
              <w:keepNext w:val="0"/>
              <w:keepLines w:val="0"/>
              <w:widowControl w:val="0"/>
              <w:numPr>
                <w:ilvl w:val="1"/>
                <w:numId w:val="15"/>
              </w:numPr>
              <w:tabs>
                <w:tab w:val="clear" w:pos="454"/>
                <w:tab w:val="num" w:pos="317"/>
              </w:tabs>
              <w:ind w:left="317" w:hanging="283"/>
            </w:pPr>
            <w:r>
              <w:t>comply with and fully satisfy the requirements of the Principal's Engineering Policy EP146</w:t>
            </w:r>
            <w:r w:rsidR="00BF0206">
              <w:t> </w:t>
            </w:r>
            <w:r w:rsidR="007329F6" w:rsidRPr="007329F6">
              <w:rPr>
                <w:i/>
                <w:iCs/>
              </w:rPr>
              <w:t>Severe Weather Management Plans (SWMP)</w:t>
            </w:r>
            <w:r>
              <w:t>.</w:t>
            </w:r>
          </w:p>
        </w:tc>
        <w:tc>
          <w:tcPr>
            <w:tcW w:w="1701" w:type="dxa"/>
            <w:vAlign w:val="top"/>
          </w:tcPr>
          <w:p w14:paraId="46837680" w14:textId="77777777" w:rsidR="0070015C" w:rsidRDefault="0070015C" w:rsidP="00983CC7">
            <w:pPr>
              <w:pStyle w:val="TableBodyText"/>
              <w:keepNext w:val="0"/>
              <w:keepLines w:val="0"/>
              <w:widowControl w:val="0"/>
              <w:jc w:val="center"/>
            </w:pPr>
            <w:r>
              <w:t xml:space="preserve">Refer </w:t>
            </w:r>
            <w:r w:rsidR="00635B97">
              <w:t>definitions</w:t>
            </w:r>
            <w:r>
              <w:t xml:space="preserve"> below</w:t>
            </w:r>
          </w:p>
        </w:tc>
        <w:tc>
          <w:tcPr>
            <w:tcW w:w="5350" w:type="dxa"/>
          </w:tcPr>
          <w:p w14:paraId="3C65F387" w14:textId="77777777" w:rsidR="0070015C" w:rsidRPr="00BD7A74" w:rsidRDefault="0070015C" w:rsidP="0070015C">
            <w:pPr>
              <w:pStyle w:val="TableBodyText"/>
              <w:keepNext w:val="0"/>
              <w:keepLines w:val="0"/>
              <w:widowControl w:val="0"/>
            </w:pPr>
          </w:p>
        </w:tc>
      </w:tr>
      <w:tr w:rsidR="0070015C" w14:paraId="7A6451EC" w14:textId="77777777" w:rsidTr="007329F6">
        <w:tc>
          <w:tcPr>
            <w:tcW w:w="2547" w:type="dxa"/>
            <w:vAlign w:val="top"/>
          </w:tcPr>
          <w:p w14:paraId="5B366EF0" w14:textId="77777777" w:rsidR="0070015C" w:rsidRPr="00417B48" w:rsidRDefault="0070015C" w:rsidP="007329F6">
            <w:pPr>
              <w:pStyle w:val="TableBodyText"/>
              <w:keepNext w:val="0"/>
              <w:keepLines w:val="0"/>
              <w:widowControl w:val="0"/>
            </w:pPr>
            <w:r>
              <w:t xml:space="preserve">EP146 Engineering </w:t>
            </w:r>
            <w:r w:rsidR="00635B97">
              <w:t>Policy</w:t>
            </w:r>
            <w:r>
              <w:t xml:space="preserve"> Clause 5</w:t>
            </w:r>
          </w:p>
        </w:tc>
        <w:tc>
          <w:tcPr>
            <w:tcW w:w="4394" w:type="dxa"/>
            <w:vAlign w:val="top"/>
          </w:tcPr>
          <w:p w14:paraId="524AD6FC" w14:textId="77777777" w:rsidR="0070015C" w:rsidRDefault="0070015C" w:rsidP="007329F6">
            <w:pPr>
              <w:pStyle w:val="TableBodyText"/>
              <w:keepNext w:val="0"/>
              <w:keepLines w:val="0"/>
              <w:widowControl w:val="0"/>
            </w:pPr>
            <w:r>
              <w:t>Identifies severe weather that might impact site</w:t>
            </w:r>
            <w:r w:rsidR="007B5DFA">
              <w:t xml:space="preserve">. </w:t>
            </w:r>
            <w:r w:rsidR="007B5DFA" w:rsidRPr="007B5DFA">
              <w:t>Where relevant this shall include bushfire, high winds,</w:t>
            </w:r>
            <w:r w:rsidR="007B5DFA">
              <w:t xml:space="preserve"> cyclone, flood, extreme heat.</w:t>
            </w:r>
          </w:p>
        </w:tc>
        <w:tc>
          <w:tcPr>
            <w:tcW w:w="1701" w:type="dxa"/>
          </w:tcPr>
          <w:p w14:paraId="1C266DAC" w14:textId="77777777" w:rsidR="0070015C" w:rsidRPr="00BD7A74" w:rsidRDefault="0070015C" w:rsidP="0070015C">
            <w:pPr>
              <w:pStyle w:val="TableBodyText"/>
              <w:keepNext w:val="0"/>
              <w:keepLines w:val="0"/>
              <w:widowControl w:val="0"/>
            </w:pPr>
          </w:p>
        </w:tc>
        <w:tc>
          <w:tcPr>
            <w:tcW w:w="5350" w:type="dxa"/>
          </w:tcPr>
          <w:p w14:paraId="094A1716" w14:textId="77777777" w:rsidR="0070015C" w:rsidRPr="00BD7A74" w:rsidRDefault="0070015C" w:rsidP="0070015C">
            <w:pPr>
              <w:pStyle w:val="TableBodyText"/>
              <w:keepNext w:val="0"/>
              <w:keepLines w:val="0"/>
              <w:widowControl w:val="0"/>
            </w:pPr>
          </w:p>
        </w:tc>
      </w:tr>
      <w:tr w:rsidR="0070015C" w14:paraId="69BC7762" w14:textId="77777777" w:rsidTr="007329F6">
        <w:tc>
          <w:tcPr>
            <w:tcW w:w="2547" w:type="dxa"/>
            <w:vAlign w:val="top"/>
          </w:tcPr>
          <w:p w14:paraId="75A7CE01" w14:textId="77777777" w:rsidR="0070015C" w:rsidRPr="00417B48" w:rsidRDefault="0070015C" w:rsidP="007329F6">
            <w:pPr>
              <w:pStyle w:val="TableBodyText"/>
              <w:keepNext w:val="0"/>
              <w:keepLines w:val="0"/>
              <w:widowControl w:val="0"/>
            </w:pPr>
            <w:r>
              <w:t xml:space="preserve">EP146 Engineering </w:t>
            </w:r>
            <w:r w:rsidR="00635B97">
              <w:t>Policy</w:t>
            </w:r>
            <w:r>
              <w:t xml:space="preserve"> Clause 6</w:t>
            </w:r>
          </w:p>
        </w:tc>
        <w:tc>
          <w:tcPr>
            <w:tcW w:w="4394" w:type="dxa"/>
            <w:vAlign w:val="top"/>
          </w:tcPr>
          <w:p w14:paraId="4197058F" w14:textId="77777777" w:rsidR="007B5DFA" w:rsidRDefault="0070015C" w:rsidP="007329F6">
            <w:pPr>
              <w:pStyle w:val="TableBodyText"/>
              <w:keepNext w:val="0"/>
              <w:keepLines w:val="0"/>
              <w:widowControl w:val="0"/>
            </w:pPr>
            <w:r>
              <w:t>The SWMP will document weather related risks, treatments and controls.</w:t>
            </w:r>
          </w:p>
          <w:p w14:paraId="59BD08E7" w14:textId="77777777" w:rsidR="007B5DFA" w:rsidRDefault="0070015C" w:rsidP="007329F6">
            <w:pPr>
              <w:pStyle w:val="TableBodyText"/>
              <w:widowControl w:val="0"/>
            </w:pPr>
            <w:r>
              <w:t>Such weather</w:t>
            </w:r>
            <w:r w:rsidR="007B5DFA">
              <w:t>-</w:t>
            </w:r>
            <w:r>
              <w:t xml:space="preserve">related risks include damage </w:t>
            </w:r>
            <w:r w:rsidR="007B5DFA">
              <w:t>to works and/or equipment resulting from bushfires which ignite on site and spread through or off site or bushfires which enter site from surrounding land, high winds, flooding and damage to works susceptible to heavy or prolonged rain.</w:t>
            </w:r>
          </w:p>
          <w:p w14:paraId="440B6A79" w14:textId="77777777" w:rsidR="0070015C" w:rsidRDefault="007B5DFA" w:rsidP="007329F6">
            <w:pPr>
              <w:pStyle w:val="TableBodyText"/>
              <w:keepNext w:val="0"/>
              <w:keepLines w:val="0"/>
              <w:widowControl w:val="0"/>
            </w:pPr>
            <w:r>
              <w:t>Risk treatments should be separated into long, medium and short term.</w:t>
            </w:r>
          </w:p>
        </w:tc>
        <w:tc>
          <w:tcPr>
            <w:tcW w:w="1701" w:type="dxa"/>
          </w:tcPr>
          <w:p w14:paraId="050074A9" w14:textId="77777777" w:rsidR="0070015C" w:rsidRPr="00BD7A74" w:rsidRDefault="0070015C" w:rsidP="0070015C">
            <w:pPr>
              <w:pStyle w:val="TableBodyText"/>
              <w:keepNext w:val="0"/>
              <w:keepLines w:val="0"/>
              <w:widowControl w:val="0"/>
            </w:pPr>
          </w:p>
        </w:tc>
        <w:tc>
          <w:tcPr>
            <w:tcW w:w="5350" w:type="dxa"/>
          </w:tcPr>
          <w:p w14:paraId="7D881C8E" w14:textId="77777777" w:rsidR="0070015C" w:rsidRPr="00BD7A74" w:rsidRDefault="0070015C" w:rsidP="0070015C">
            <w:pPr>
              <w:pStyle w:val="TableBodyText"/>
              <w:keepNext w:val="0"/>
              <w:keepLines w:val="0"/>
              <w:widowControl w:val="0"/>
            </w:pPr>
          </w:p>
        </w:tc>
      </w:tr>
      <w:tr w:rsidR="0070015C" w14:paraId="0BB42E62" w14:textId="77777777" w:rsidTr="007329F6">
        <w:trPr>
          <w:trHeight w:val="1795"/>
        </w:trPr>
        <w:tc>
          <w:tcPr>
            <w:tcW w:w="2547" w:type="dxa"/>
            <w:vAlign w:val="top"/>
          </w:tcPr>
          <w:p w14:paraId="7E3CD7EB" w14:textId="77777777" w:rsidR="007B5DFA" w:rsidRDefault="007B5DFA" w:rsidP="007329F6">
            <w:pPr>
              <w:pStyle w:val="TableBodyText"/>
              <w:widowControl w:val="0"/>
            </w:pPr>
            <w:r>
              <w:lastRenderedPageBreak/>
              <w:t xml:space="preserve">EP146 Engineering </w:t>
            </w:r>
            <w:r w:rsidR="00635B97">
              <w:t>Policy</w:t>
            </w:r>
            <w:r>
              <w:t xml:space="preserve"> Clause 6.1</w:t>
            </w:r>
          </w:p>
          <w:p w14:paraId="7F345318" w14:textId="77777777" w:rsidR="007B5DFA" w:rsidRDefault="007B5DFA" w:rsidP="007329F6">
            <w:pPr>
              <w:pStyle w:val="TableBodyText"/>
              <w:widowControl w:val="0"/>
            </w:pPr>
            <w:r>
              <w:t>and</w:t>
            </w:r>
          </w:p>
          <w:p w14:paraId="1564C252" w14:textId="77777777" w:rsidR="0070015C" w:rsidRPr="00417B48" w:rsidRDefault="007B5DFA" w:rsidP="007329F6">
            <w:pPr>
              <w:pStyle w:val="TableBodyText"/>
              <w:keepNext w:val="0"/>
              <w:keepLines w:val="0"/>
              <w:widowControl w:val="0"/>
            </w:pPr>
            <w:r>
              <w:t>Unsealed Road Limitation (Exclusion 3:10) PAI Contract Works Policy</w:t>
            </w:r>
          </w:p>
        </w:tc>
        <w:tc>
          <w:tcPr>
            <w:tcW w:w="4394" w:type="dxa"/>
            <w:vAlign w:val="top"/>
          </w:tcPr>
          <w:p w14:paraId="557F8E57" w14:textId="77777777" w:rsidR="0070015C" w:rsidRDefault="007B5DFA" w:rsidP="007329F6">
            <w:pPr>
              <w:pStyle w:val="TableBodyText"/>
              <w:keepNext w:val="0"/>
              <w:keepLines w:val="0"/>
              <w:widowControl w:val="0"/>
            </w:pPr>
            <w:r w:rsidRPr="007B5DFA">
              <w:t>Programming of roadworks to ensure no more than 3.0</w:t>
            </w:r>
            <w:r>
              <w:t> </w:t>
            </w:r>
            <w:r w:rsidRPr="007B5DFA">
              <w:t>km (per section) or 5.0</w:t>
            </w:r>
            <w:r>
              <w:t> </w:t>
            </w:r>
            <w:r w:rsidRPr="007B5DFA">
              <w:t>km in the aggregate of unsealed road is exposed at any one time</w:t>
            </w:r>
            <w:r>
              <w:t>.</w:t>
            </w:r>
          </w:p>
        </w:tc>
        <w:tc>
          <w:tcPr>
            <w:tcW w:w="1701" w:type="dxa"/>
          </w:tcPr>
          <w:p w14:paraId="1984958C" w14:textId="77777777" w:rsidR="0070015C" w:rsidRPr="00BD7A74" w:rsidRDefault="0070015C" w:rsidP="0070015C">
            <w:pPr>
              <w:pStyle w:val="TableBodyText"/>
              <w:keepNext w:val="0"/>
              <w:keepLines w:val="0"/>
              <w:widowControl w:val="0"/>
            </w:pPr>
          </w:p>
        </w:tc>
        <w:tc>
          <w:tcPr>
            <w:tcW w:w="5350" w:type="dxa"/>
          </w:tcPr>
          <w:p w14:paraId="0E69CB98" w14:textId="77777777" w:rsidR="0070015C" w:rsidRPr="00BD7A74" w:rsidRDefault="0070015C" w:rsidP="0070015C">
            <w:pPr>
              <w:pStyle w:val="TableBodyText"/>
              <w:keepNext w:val="0"/>
              <w:keepLines w:val="0"/>
              <w:widowControl w:val="0"/>
            </w:pPr>
          </w:p>
        </w:tc>
      </w:tr>
      <w:tr w:rsidR="007B5DFA" w14:paraId="423E9FEC" w14:textId="77777777" w:rsidTr="007329F6">
        <w:tc>
          <w:tcPr>
            <w:tcW w:w="2547" w:type="dxa"/>
            <w:vAlign w:val="top"/>
          </w:tcPr>
          <w:p w14:paraId="1A6426DE" w14:textId="77777777" w:rsidR="007B5DFA" w:rsidRDefault="007B5DFA" w:rsidP="007329F6">
            <w:pPr>
              <w:pStyle w:val="TableBodyText"/>
              <w:keepNext w:val="0"/>
              <w:keepLines w:val="0"/>
              <w:widowControl w:val="0"/>
            </w:pPr>
            <w:r w:rsidRPr="007B5DFA">
              <w:t>Main Roads Technical Standards 11, 17, 18 &amp; 22</w:t>
            </w:r>
          </w:p>
        </w:tc>
        <w:tc>
          <w:tcPr>
            <w:tcW w:w="4394" w:type="dxa"/>
            <w:vAlign w:val="top"/>
          </w:tcPr>
          <w:p w14:paraId="0F33CE25" w14:textId="77777777" w:rsidR="007B5DFA" w:rsidRPr="007B5DFA" w:rsidRDefault="007B5DFA" w:rsidP="007329F6">
            <w:pPr>
              <w:pStyle w:val="TableBodyText"/>
              <w:widowControl w:val="0"/>
            </w:pPr>
            <w:r w:rsidRPr="007B5DFA">
              <w:t>Programming of bitumen sealing and resealing in favourable conditions as defined in Main Roads Technical Standards</w:t>
            </w:r>
            <w:r>
              <w:t>.</w:t>
            </w:r>
          </w:p>
        </w:tc>
        <w:tc>
          <w:tcPr>
            <w:tcW w:w="1701" w:type="dxa"/>
          </w:tcPr>
          <w:p w14:paraId="51781D75" w14:textId="77777777" w:rsidR="007B5DFA" w:rsidRPr="00BD7A74" w:rsidRDefault="007B5DFA" w:rsidP="0070015C">
            <w:pPr>
              <w:pStyle w:val="TableBodyText"/>
              <w:widowControl w:val="0"/>
            </w:pPr>
          </w:p>
        </w:tc>
        <w:tc>
          <w:tcPr>
            <w:tcW w:w="5350" w:type="dxa"/>
          </w:tcPr>
          <w:p w14:paraId="080EFE4E" w14:textId="77777777" w:rsidR="007B5DFA" w:rsidRPr="00BD7A74" w:rsidRDefault="007B5DFA" w:rsidP="0070015C">
            <w:pPr>
              <w:pStyle w:val="TableBodyText"/>
              <w:widowControl w:val="0"/>
            </w:pPr>
          </w:p>
        </w:tc>
      </w:tr>
      <w:tr w:rsidR="007B5DFA" w14:paraId="0AFFEBD0" w14:textId="77777777" w:rsidTr="007329F6">
        <w:tc>
          <w:tcPr>
            <w:tcW w:w="2547" w:type="dxa"/>
            <w:vAlign w:val="top"/>
          </w:tcPr>
          <w:p w14:paraId="7789F34D" w14:textId="77777777" w:rsidR="007B5DFA" w:rsidRPr="003A3E17" w:rsidRDefault="007B5DFA" w:rsidP="007329F6">
            <w:pPr>
              <w:spacing w:before="60" w:after="60" w:line="240" w:lineRule="auto"/>
            </w:pPr>
            <w:r w:rsidRPr="007B5DFA">
              <w:rPr>
                <w:rFonts w:cs="Arial"/>
                <w:color w:val="000000"/>
                <w:szCs w:val="20"/>
              </w:rPr>
              <w:t xml:space="preserve">EP146 Engineering </w:t>
            </w:r>
            <w:r w:rsidR="00635B97">
              <w:rPr>
                <w:rFonts w:cs="Arial"/>
                <w:color w:val="000000"/>
                <w:szCs w:val="20"/>
              </w:rPr>
              <w:t>Policy</w:t>
            </w:r>
            <w:r w:rsidRPr="007B5DFA">
              <w:rPr>
                <w:rFonts w:cs="Arial"/>
                <w:color w:val="000000"/>
                <w:szCs w:val="20"/>
              </w:rPr>
              <w:t xml:space="preserve"> Clause 8</w:t>
            </w:r>
          </w:p>
        </w:tc>
        <w:tc>
          <w:tcPr>
            <w:tcW w:w="4394" w:type="dxa"/>
            <w:vAlign w:val="top"/>
          </w:tcPr>
          <w:p w14:paraId="0247D79F" w14:textId="77777777" w:rsidR="007B5DFA" w:rsidRDefault="007B5DFA" w:rsidP="007329F6">
            <w:r w:rsidRPr="003A3E17">
              <w:t>Identifies responsible personnel for severe weather risk treatments</w:t>
            </w:r>
            <w:r>
              <w:t>.</w:t>
            </w:r>
          </w:p>
        </w:tc>
        <w:tc>
          <w:tcPr>
            <w:tcW w:w="1701" w:type="dxa"/>
          </w:tcPr>
          <w:p w14:paraId="1927B1FA" w14:textId="77777777" w:rsidR="007B5DFA" w:rsidRPr="00BD7A74" w:rsidRDefault="007B5DFA" w:rsidP="007B5DFA">
            <w:pPr>
              <w:pStyle w:val="TableBodyText"/>
              <w:widowControl w:val="0"/>
            </w:pPr>
          </w:p>
        </w:tc>
        <w:tc>
          <w:tcPr>
            <w:tcW w:w="5350" w:type="dxa"/>
          </w:tcPr>
          <w:p w14:paraId="22E374AE" w14:textId="77777777" w:rsidR="007B5DFA" w:rsidRPr="00BD7A74" w:rsidRDefault="007B5DFA" w:rsidP="007B5DFA">
            <w:pPr>
              <w:pStyle w:val="TableBodyText"/>
              <w:widowControl w:val="0"/>
            </w:pPr>
          </w:p>
        </w:tc>
      </w:tr>
      <w:tr w:rsidR="0070015C" w14:paraId="6E3F6589" w14:textId="77777777" w:rsidTr="00D673AA">
        <w:tc>
          <w:tcPr>
            <w:tcW w:w="2547" w:type="dxa"/>
            <w:vAlign w:val="top"/>
          </w:tcPr>
          <w:p w14:paraId="170651AC" w14:textId="77777777" w:rsidR="0070015C" w:rsidRPr="00417B48" w:rsidRDefault="0070015C" w:rsidP="00D84B50">
            <w:pPr>
              <w:pStyle w:val="TableBodyText"/>
              <w:keepNext w:val="0"/>
              <w:keepLines w:val="0"/>
              <w:widowControl w:val="0"/>
            </w:pPr>
            <w:r>
              <w:t>GCC C</w:t>
            </w:r>
            <w:r w:rsidRPr="0002348D">
              <w:t>lause</w:t>
            </w:r>
            <w:r>
              <w:t> </w:t>
            </w:r>
            <w:r w:rsidRPr="0002348D">
              <w:t>16.2.2</w:t>
            </w:r>
          </w:p>
        </w:tc>
        <w:tc>
          <w:tcPr>
            <w:tcW w:w="4394" w:type="dxa"/>
            <w:vAlign w:val="top"/>
          </w:tcPr>
          <w:p w14:paraId="6E736013" w14:textId="2C983F0D" w:rsidR="000713CD" w:rsidRDefault="000713CD" w:rsidP="000713CD">
            <w:pPr>
              <w:pStyle w:val="TableBodyText"/>
              <w:keepNext w:val="0"/>
              <w:keepLines w:val="0"/>
              <w:widowControl w:val="0"/>
              <w:numPr>
                <w:ilvl w:val="0"/>
                <w:numId w:val="22"/>
              </w:numPr>
            </w:pPr>
            <w:r w:rsidRPr="000713CD">
              <w:t>The SWMP shall:</w:t>
            </w:r>
          </w:p>
          <w:p w14:paraId="6877F56B" w14:textId="092513C0" w:rsidR="0070015C" w:rsidRDefault="007B5DFA" w:rsidP="000713CD">
            <w:pPr>
              <w:pStyle w:val="TableBodyText"/>
              <w:keepNext w:val="0"/>
              <w:keepLines w:val="0"/>
              <w:widowControl w:val="0"/>
              <w:numPr>
                <w:ilvl w:val="1"/>
                <w:numId w:val="16"/>
              </w:numPr>
              <w:ind w:left="317" w:hanging="317"/>
            </w:pPr>
            <w:r>
              <w:t>I</w:t>
            </w:r>
            <w:r w:rsidR="0070015C">
              <w:t>nclude a time-based schedule for its implementation</w:t>
            </w:r>
            <w:r>
              <w:t>.</w:t>
            </w:r>
          </w:p>
        </w:tc>
        <w:tc>
          <w:tcPr>
            <w:tcW w:w="1701" w:type="dxa"/>
          </w:tcPr>
          <w:p w14:paraId="5D0F0414" w14:textId="77777777" w:rsidR="0070015C" w:rsidRPr="00BD7A74" w:rsidRDefault="0070015C" w:rsidP="00D84B50">
            <w:pPr>
              <w:pStyle w:val="TableBodyText"/>
              <w:keepNext w:val="0"/>
              <w:keepLines w:val="0"/>
              <w:widowControl w:val="0"/>
            </w:pPr>
          </w:p>
        </w:tc>
        <w:tc>
          <w:tcPr>
            <w:tcW w:w="5350" w:type="dxa"/>
          </w:tcPr>
          <w:p w14:paraId="241C56EC" w14:textId="77777777" w:rsidR="0070015C" w:rsidRPr="00BD7A74" w:rsidRDefault="0070015C" w:rsidP="00D84B50">
            <w:pPr>
              <w:pStyle w:val="TableBodyText"/>
              <w:keepNext w:val="0"/>
              <w:keepLines w:val="0"/>
              <w:widowControl w:val="0"/>
            </w:pPr>
          </w:p>
        </w:tc>
      </w:tr>
      <w:tr w:rsidR="0070015C" w14:paraId="70A0A5D0" w14:textId="77777777" w:rsidTr="00D673AA">
        <w:tc>
          <w:tcPr>
            <w:tcW w:w="2547" w:type="dxa"/>
            <w:vAlign w:val="top"/>
          </w:tcPr>
          <w:p w14:paraId="112735C1" w14:textId="77777777" w:rsidR="0070015C" w:rsidRPr="00417B48" w:rsidRDefault="0070015C" w:rsidP="007B5DFA">
            <w:pPr>
              <w:pStyle w:val="TableBodyText"/>
              <w:keepNext w:val="0"/>
              <w:keepLines w:val="0"/>
              <w:widowControl w:val="0"/>
            </w:pPr>
            <w:r w:rsidRPr="0002348D">
              <w:t xml:space="preserve">GCC </w:t>
            </w:r>
            <w:r>
              <w:t>C</w:t>
            </w:r>
            <w:r w:rsidRPr="0002348D">
              <w:t>lause</w:t>
            </w:r>
            <w:r>
              <w:t> </w:t>
            </w:r>
            <w:r w:rsidRPr="0002348D">
              <w:t>16.2.2</w:t>
            </w:r>
          </w:p>
        </w:tc>
        <w:tc>
          <w:tcPr>
            <w:tcW w:w="4394" w:type="dxa"/>
            <w:vAlign w:val="top"/>
          </w:tcPr>
          <w:p w14:paraId="3196C398" w14:textId="5CC8B7E5" w:rsidR="000713CD" w:rsidRDefault="000713CD" w:rsidP="000713CD">
            <w:pPr>
              <w:pStyle w:val="TableBodyText"/>
              <w:keepNext w:val="0"/>
              <w:keepLines w:val="0"/>
              <w:widowControl w:val="0"/>
              <w:numPr>
                <w:ilvl w:val="0"/>
                <w:numId w:val="23"/>
              </w:numPr>
            </w:pPr>
            <w:r w:rsidRPr="000713CD">
              <w:t>The SWMP shall:</w:t>
            </w:r>
          </w:p>
          <w:p w14:paraId="2845DFB1" w14:textId="184F3451" w:rsidR="0070015C" w:rsidRDefault="007B5DFA" w:rsidP="000713CD">
            <w:pPr>
              <w:pStyle w:val="TableBodyText"/>
              <w:keepNext w:val="0"/>
              <w:keepLines w:val="0"/>
              <w:widowControl w:val="0"/>
              <w:numPr>
                <w:ilvl w:val="1"/>
                <w:numId w:val="17"/>
              </w:numPr>
              <w:tabs>
                <w:tab w:val="clear" w:pos="454"/>
                <w:tab w:val="num" w:pos="317"/>
              </w:tabs>
              <w:ind w:left="317" w:hanging="317"/>
            </w:pPr>
            <w:r>
              <w:t>A</w:t>
            </w:r>
            <w:r w:rsidR="0070015C">
              <w:t xml:space="preserve">s a minimum, detail what measures will be undertaken by the Contractor to mitigate or minimise the impact of damage to the following elements (as applicable to the work under the Contract) </w:t>
            </w:r>
            <w:proofErr w:type="gramStart"/>
            <w:r w:rsidR="0070015C">
              <w:t>as a result of</w:t>
            </w:r>
            <w:proofErr w:type="gramEnd"/>
            <w:r w:rsidR="0070015C">
              <w:t xml:space="preserve"> inclement weather:</w:t>
            </w:r>
          </w:p>
          <w:p w14:paraId="1BA35415" w14:textId="77777777" w:rsidR="0070015C" w:rsidRDefault="00D84B50" w:rsidP="000713CD">
            <w:pPr>
              <w:pStyle w:val="TableBodyText"/>
              <w:keepNext w:val="0"/>
              <w:keepLines w:val="0"/>
              <w:widowControl w:val="0"/>
              <w:numPr>
                <w:ilvl w:val="0"/>
                <w:numId w:val="18"/>
              </w:numPr>
              <w:tabs>
                <w:tab w:val="clear" w:pos="227"/>
                <w:tab w:val="num" w:pos="742"/>
              </w:tabs>
              <w:ind w:left="459" w:hanging="284"/>
            </w:pPr>
            <w:r>
              <w:t>pavement</w:t>
            </w:r>
          </w:p>
          <w:p w14:paraId="63DD67BE" w14:textId="77777777" w:rsidR="0070015C" w:rsidRDefault="0070015C" w:rsidP="000713CD">
            <w:pPr>
              <w:pStyle w:val="TableBodyText"/>
              <w:keepNext w:val="0"/>
              <w:keepLines w:val="0"/>
              <w:widowControl w:val="0"/>
              <w:numPr>
                <w:ilvl w:val="0"/>
                <w:numId w:val="18"/>
              </w:numPr>
              <w:tabs>
                <w:tab w:val="clear" w:pos="227"/>
                <w:tab w:val="num" w:pos="742"/>
              </w:tabs>
              <w:ind w:left="459" w:hanging="284"/>
            </w:pPr>
            <w:r>
              <w:t>earthworks formation and bat</w:t>
            </w:r>
            <w:r w:rsidR="00D84B50">
              <w:t>ters (cuttings and embankments)</w:t>
            </w:r>
          </w:p>
          <w:p w14:paraId="3FE1D41E" w14:textId="77777777" w:rsidR="0070015C" w:rsidRDefault="00D84B50" w:rsidP="000713CD">
            <w:pPr>
              <w:pStyle w:val="TableBodyText"/>
              <w:keepNext w:val="0"/>
              <w:keepLines w:val="0"/>
              <w:widowControl w:val="0"/>
              <w:numPr>
                <w:ilvl w:val="0"/>
                <w:numId w:val="18"/>
              </w:numPr>
              <w:tabs>
                <w:tab w:val="clear" w:pos="227"/>
                <w:tab w:val="num" w:pos="742"/>
              </w:tabs>
              <w:ind w:left="459" w:hanging="284"/>
            </w:pPr>
            <w:r>
              <w:t>culvert construction</w:t>
            </w:r>
          </w:p>
          <w:p w14:paraId="5593528C" w14:textId="77777777" w:rsidR="0070015C" w:rsidRDefault="00D84B50" w:rsidP="000713CD">
            <w:pPr>
              <w:pStyle w:val="TableBodyText"/>
              <w:keepNext w:val="0"/>
              <w:keepLines w:val="0"/>
              <w:widowControl w:val="0"/>
              <w:numPr>
                <w:ilvl w:val="0"/>
                <w:numId w:val="18"/>
              </w:numPr>
              <w:tabs>
                <w:tab w:val="clear" w:pos="227"/>
                <w:tab w:val="num" w:pos="742"/>
              </w:tabs>
              <w:ind w:left="459" w:hanging="284"/>
            </w:pPr>
            <w:r>
              <w:t>drainage</w:t>
            </w:r>
          </w:p>
          <w:p w14:paraId="1ED052C8" w14:textId="73808247" w:rsidR="007329F6" w:rsidRDefault="00D84B50" w:rsidP="000713CD">
            <w:pPr>
              <w:pStyle w:val="TableBodyText"/>
              <w:keepNext w:val="0"/>
              <w:keepLines w:val="0"/>
              <w:widowControl w:val="0"/>
              <w:numPr>
                <w:ilvl w:val="0"/>
                <w:numId w:val="18"/>
              </w:numPr>
              <w:tabs>
                <w:tab w:val="clear" w:pos="227"/>
                <w:tab w:val="num" w:pos="742"/>
              </w:tabs>
              <w:ind w:left="459" w:hanging="284"/>
            </w:pPr>
            <w:r>
              <w:t>environmental protection</w:t>
            </w:r>
            <w:r w:rsidR="007329F6">
              <w:t xml:space="preserve">, </w:t>
            </w:r>
            <w:r>
              <w:t>and</w:t>
            </w:r>
            <w:r w:rsidR="007B5DFA">
              <w:t xml:space="preserve"> </w:t>
            </w:r>
          </w:p>
          <w:p w14:paraId="0FD2A1EC" w14:textId="2F2AFA47" w:rsidR="0070015C" w:rsidRDefault="0070015C" w:rsidP="000713CD">
            <w:pPr>
              <w:pStyle w:val="TableBodyText"/>
              <w:keepNext w:val="0"/>
              <w:keepLines w:val="0"/>
              <w:widowControl w:val="0"/>
              <w:numPr>
                <w:ilvl w:val="0"/>
                <w:numId w:val="18"/>
              </w:numPr>
              <w:tabs>
                <w:tab w:val="clear" w:pos="227"/>
                <w:tab w:val="num" w:pos="742"/>
              </w:tabs>
              <w:ind w:left="459" w:hanging="284"/>
            </w:pPr>
            <w:r>
              <w:t>major excavations</w:t>
            </w:r>
            <w:r w:rsidR="007B5DFA">
              <w:t>.</w:t>
            </w:r>
          </w:p>
        </w:tc>
        <w:tc>
          <w:tcPr>
            <w:tcW w:w="1701" w:type="dxa"/>
          </w:tcPr>
          <w:p w14:paraId="1E9AA524" w14:textId="77777777" w:rsidR="0070015C" w:rsidRPr="00BD7A74" w:rsidRDefault="0070015C" w:rsidP="007B5DFA">
            <w:pPr>
              <w:pStyle w:val="TableBodyText"/>
              <w:keepNext w:val="0"/>
              <w:keepLines w:val="0"/>
              <w:widowControl w:val="0"/>
            </w:pPr>
          </w:p>
        </w:tc>
        <w:tc>
          <w:tcPr>
            <w:tcW w:w="5350" w:type="dxa"/>
          </w:tcPr>
          <w:p w14:paraId="2DBE17B7" w14:textId="77777777" w:rsidR="0070015C" w:rsidRPr="00BD7A74" w:rsidRDefault="0070015C" w:rsidP="007B5DFA">
            <w:pPr>
              <w:pStyle w:val="TableBodyText"/>
              <w:keepNext w:val="0"/>
              <w:keepLines w:val="0"/>
              <w:widowControl w:val="0"/>
            </w:pPr>
          </w:p>
        </w:tc>
      </w:tr>
      <w:tr w:rsidR="0070015C" w14:paraId="4F18F36F" w14:textId="77777777" w:rsidTr="00D673AA">
        <w:tc>
          <w:tcPr>
            <w:tcW w:w="2547" w:type="dxa"/>
            <w:vAlign w:val="top"/>
          </w:tcPr>
          <w:p w14:paraId="5E0610B3" w14:textId="77777777" w:rsidR="0070015C" w:rsidRPr="00417B48" w:rsidRDefault="0070015C" w:rsidP="007B5DFA">
            <w:pPr>
              <w:pStyle w:val="TableBodyText"/>
              <w:keepLines w:val="0"/>
              <w:widowControl w:val="0"/>
            </w:pPr>
            <w:r w:rsidRPr="0002348D">
              <w:lastRenderedPageBreak/>
              <w:t xml:space="preserve">GCC </w:t>
            </w:r>
            <w:r w:rsidR="00D84B50">
              <w:t>C</w:t>
            </w:r>
            <w:r w:rsidRPr="0002348D">
              <w:t>lause</w:t>
            </w:r>
            <w:r w:rsidR="00D84B50">
              <w:t> </w:t>
            </w:r>
            <w:r w:rsidRPr="0002348D">
              <w:t>16.2.2</w:t>
            </w:r>
          </w:p>
        </w:tc>
        <w:tc>
          <w:tcPr>
            <w:tcW w:w="4394" w:type="dxa"/>
            <w:vAlign w:val="top"/>
          </w:tcPr>
          <w:p w14:paraId="0F2CF99D" w14:textId="3A249620" w:rsidR="000713CD" w:rsidRDefault="000713CD" w:rsidP="000713CD">
            <w:pPr>
              <w:pStyle w:val="TableBodyText"/>
              <w:keepNext w:val="0"/>
              <w:keepLines w:val="0"/>
              <w:widowControl w:val="0"/>
              <w:numPr>
                <w:ilvl w:val="0"/>
                <w:numId w:val="24"/>
              </w:numPr>
            </w:pPr>
            <w:r w:rsidRPr="000713CD">
              <w:t>The SWMP shall:</w:t>
            </w:r>
          </w:p>
          <w:p w14:paraId="29BB91D9" w14:textId="12883A30" w:rsidR="0070015C" w:rsidRDefault="007B5DFA" w:rsidP="000713CD">
            <w:pPr>
              <w:pStyle w:val="TableBodyText"/>
              <w:keepLines w:val="0"/>
              <w:widowControl w:val="0"/>
              <w:numPr>
                <w:ilvl w:val="1"/>
                <w:numId w:val="19"/>
              </w:numPr>
              <w:tabs>
                <w:tab w:val="clear" w:pos="454"/>
                <w:tab w:val="num" w:pos="317"/>
              </w:tabs>
              <w:ind w:hanging="454"/>
            </w:pPr>
            <w:r>
              <w:t>I</w:t>
            </w:r>
            <w:r w:rsidR="0070015C">
              <w:t>n</w:t>
            </w:r>
            <w:r w:rsidR="00D84B50">
              <w:t>clude the following components:</w:t>
            </w:r>
          </w:p>
          <w:p w14:paraId="1BD6FE1D" w14:textId="77777777" w:rsidR="0070015C" w:rsidRDefault="0070015C" w:rsidP="000713CD">
            <w:pPr>
              <w:pStyle w:val="TableBodyText"/>
              <w:keepLines w:val="0"/>
              <w:widowControl w:val="0"/>
              <w:numPr>
                <w:ilvl w:val="0"/>
                <w:numId w:val="20"/>
              </w:numPr>
              <w:tabs>
                <w:tab w:val="clear" w:pos="227"/>
                <w:tab w:val="num" w:pos="459"/>
              </w:tabs>
              <w:ind w:left="459" w:hanging="284"/>
            </w:pPr>
            <w:r>
              <w:t>severe weather ide</w:t>
            </w:r>
            <w:r w:rsidR="00D84B50">
              <w:t>ntification (means and methods)</w:t>
            </w:r>
          </w:p>
          <w:p w14:paraId="21DF4E91" w14:textId="77777777" w:rsidR="0070015C" w:rsidRDefault="0070015C" w:rsidP="000713CD">
            <w:pPr>
              <w:pStyle w:val="TableBodyText"/>
              <w:keepLines w:val="0"/>
              <w:widowControl w:val="0"/>
              <w:numPr>
                <w:ilvl w:val="0"/>
                <w:numId w:val="20"/>
              </w:numPr>
              <w:tabs>
                <w:tab w:val="clear" w:pos="227"/>
                <w:tab w:val="num" w:pos="459"/>
              </w:tabs>
              <w:ind w:left="459" w:hanging="284"/>
            </w:pPr>
            <w:r>
              <w:t>risk evaluation (procedures)</w:t>
            </w:r>
          </w:p>
          <w:p w14:paraId="0ED5D4B7" w14:textId="77777777" w:rsidR="0070015C" w:rsidRDefault="0070015C" w:rsidP="000713CD">
            <w:pPr>
              <w:pStyle w:val="TableBodyText"/>
              <w:keepLines w:val="0"/>
              <w:widowControl w:val="0"/>
              <w:numPr>
                <w:ilvl w:val="0"/>
                <w:numId w:val="20"/>
              </w:numPr>
              <w:tabs>
                <w:tab w:val="clear" w:pos="227"/>
                <w:tab w:val="num" w:pos="459"/>
              </w:tabs>
              <w:ind w:left="459" w:hanging="284"/>
            </w:pPr>
            <w:r>
              <w:t>weather treatmen</w:t>
            </w:r>
            <w:r w:rsidR="00D84B50">
              <w:t>ts (short, mid and long-term)</w:t>
            </w:r>
          </w:p>
          <w:p w14:paraId="3C4E2142" w14:textId="77777777" w:rsidR="0070015C" w:rsidRDefault="0070015C" w:rsidP="000713CD">
            <w:pPr>
              <w:pStyle w:val="TableBodyText"/>
              <w:keepLines w:val="0"/>
              <w:widowControl w:val="0"/>
              <w:numPr>
                <w:ilvl w:val="0"/>
                <w:numId w:val="20"/>
              </w:numPr>
              <w:tabs>
                <w:tab w:val="clear" w:pos="227"/>
                <w:tab w:val="num" w:pos="459"/>
              </w:tabs>
              <w:ind w:left="459" w:hanging="284"/>
            </w:pPr>
            <w:r>
              <w:t>rectification and re</w:t>
            </w:r>
            <w:r w:rsidR="00D84B50">
              <w:t>covery (means and methods), and</w:t>
            </w:r>
          </w:p>
          <w:p w14:paraId="1C5EC455" w14:textId="77777777" w:rsidR="0070015C" w:rsidRDefault="00D84B50" w:rsidP="000713CD">
            <w:pPr>
              <w:pStyle w:val="TableBodyText"/>
              <w:keepLines w:val="0"/>
              <w:widowControl w:val="0"/>
              <w:numPr>
                <w:ilvl w:val="0"/>
                <w:numId w:val="20"/>
              </w:numPr>
              <w:tabs>
                <w:tab w:val="clear" w:pos="227"/>
                <w:tab w:val="num" w:pos="459"/>
              </w:tabs>
              <w:ind w:left="459" w:hanging="284"/>
            </w:pPr>
            <w:r>
              <w:t>contact personnel</w:t>
            </w:r>
            <w:r w:rsidR="00000745">
              <w:t>.</w:t>
            </w:r>
          </w:p>
        </w:tc>
        <w:tc>
          <w:tcPr>
            <w:tcW w:w="1701" w:type="dxa"/>
          </w:tcPr>
          <w:p w14:paraId="7A9EC52C" w14:textId="77777777" w:rsidR="0070015C" w:rsidRPr="00BD7A74" w:rsidRDefault="0070015C" w:rsidP="007B5DFA">
            <w:pPr>
              <w:pStyle w:val="TableBodyText"/>
              <w:keepLines w:val="0"/>
              <w:widowControl w:val="0"/>
            </w:pPr>
          </w:p>
        </w:tc>
        <w:tc>
          <w:tcPr>
            <w:tcW w:w="5350" w:type="dxa"/>
          </w:tcPr>
          <w:p w14:paraId="37FF1016" w14:textId="77777777" w:rsidR="0070015C" w:rsidRPr="00BD7A74" w:rsidRDefault="0070015C" w:rsidP="007B5DFA">
            <w:pPr>
              <w:pStyle w:val="TableBodyText"/>
              <w:keepLines w:val="0"/>
              <w:widowControl w:val="0"/>
            </w:pPr>
          </w:p>
        </w:tc>
      </w:tr>
      <w:tr w:rsidR="00000745" w14:paraId="30637557" w14:textId="77777777" w:rsidTr="00D673AA">
        <w:tc>
          <w:tcPr>
            <w:tcW w:w="2547" w:type="dxa"/>
            <w:vAlign w:val="top"/>
          </w:tcPr>
          <w:p w14:paraId="0B3FC231" w14:textId="77777777" w:rsidR="00000745" w:rsidRPr="0002348D" w:rsidRDefault="00000745" w:rsidP="00000745">
            <w:pPr>
              <w:pStyle w:val="TableBodyText"/>
              <w:keepNext w:val="0"/>
              <w:keepLines w:val="0"/>
              <w:widowControl w:val="0"/>
            </w:pPr>
            <w:r w:rsidRPr="00000745">
              <w:t xml:space="preserve">EP146 Engineering </w:t>
            </w:r>
            <w:r w:rsidR="00635B97">
              <w:t>Policy</w:t>
            </w:r>
            <w:r w:rsidRPr="00000745">
              <w:t xml:space="preserve"> Clause</w:t>
            </w:r>
            <w:r>
              <w:t> </w:t>
            </w:r>
            <w:r w:rsidRPr="00000745">
              <w:t>6</w:t>
            </w:r>
          </w:p>
        </w:tc>
        <w:tc>
          <w:tcPr>
            <w:tcW w:w="4394" w:type="dxa"/>
            <w:vAlign w:val="top"/>
          </w:tcPr>
          <w:p w14:paraId="2809959D" w14:textId="77777777" w:rsidR="00000745" w:rsidRDefault="00000745" w:rsidP="00000745">
            <w:pPr>
              <w:pStyle w:val="TableBodyText"/>
              <w:widowControl w:val="0"/>
            </w:pPr>
            <w:r>
              <w:t xml:space="preserve">As a minimum, detail what measures will be undertaken by the Contractor to avoid, mitigate or minimise the impact of damage </w:t>
            </w:r>
            <w:proofErr w:type="gramStart"/>
            <w:r>
              <w:t>as a result of</w:t>
            </w:r>
            <w:proofErr w:type="gramEnd"/>
            <w:r>
              <w:t>:</w:t>
            </w:r>
          </w:p>
          <w:p w14:paraId="12BD6A46" w14:textId="77777777" w:rsidR="00000745" w:rsidRDefault="00000745" w:rsidP="000713CD">
            <w:pPr>
              <w:pStyle w:val="TableBodyText"/>
              <w:widowControl w:val="0"/>
              <w:numPr>
                <w:ilvl w:val="0"/>
                <w:numId w:val="21"/>
              </w:numPr>
              <w:ind w:left="465" w:hanging="142"/>
            </w:pPr>
            <w:r>
              <w:t>onsite bushfire ignition and spread through or off site, and</w:t>
            </w:r>
          </w:p>
          <w:p w14:paraId="07A2C8CA" w14:textId="77777777" w:rsidR="00000745" w:rsidRDefault="00000745" w:rsidP="000713CD">
            <w:pPr>
              <w:pStyle w:val="TableBodyText"/>
              <w:widowControl w:val="0"/>
              <w:numPr>
                <w:ilvl w:val="0"/>
                <w:numId w:val="21"/>
              </w:numPr>
              <w:ind w:left="465" w:hanging="142"/>
            </w:pPr>
            <w:r>
              <w:t>bushfires which enter site from surrounding land.</w:t>
            </w:r>
          </w:p>
        </w:tc>
        <w:tc>
          <w:tcPr>
            <w:tcW w:w="1701" w:type="dxa"/>
          </w:tcPr>
          <w:p w14:paraId="0AFD9A32" w14:textId="77777777" w:rsidR="00000745" w:rsidRPr="00BD7A74" w:rsidRDefault="00000745" w:rsidP="007B5DFA">
            <w:pPr>
              <w:pStyle w:val="TableBodyText"/>
              <w:widowControl w:val="0"/>
            </w:pPr>
          </w:p>
        </w:tc>
        <w:tc>
          <w:tcPr>
            <w:tcW w:w="5350" w:type="dxa"/>
          </w:tcPr>
          <w:p w14:paraId="3E11151B" w14:textId="77777777" w:rsidR="00000745" w:rsidRPr="00BD7A74" w:rsidRDefault="00000745" w:rsidP="007B5DFA">
            <w:pPr>
              <w:pStyle w:val="TableBodyText"/>
              <w:widowControl w:val="0"/>
            </w:pPr>
          </w:p>
        </w:tc>
      </w:tr>
    </w:tbl>
    <w:p w14:paraId="72995DD9" w14:textId="77777777" w:rsidR="009A5FB6" w:rsidRPr="0070015C" w:rsidRDefault="009A5FB6" w:rsidP="00BF0206">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064"/>
        <w:gridCol w:w="236"/>
        <w:gridCol w:w="3205"/>
        <w:gridCol w:w="293"/>
        <w:gridCol w:w="3251"/>
        <w:gridCol w:w="247"/>
      </w:tblGrid>
      <w:tr w:rsidR="009A5FB6" w14:paraId="77C71764" w14:textId="77777777" w:rsidTr="00285CCE">
        <w:tc>
          <w:tcPr>
            <w:tcW w:w="1696" w:type="dxa"/>
            <w:vMerge w:val="restart"/>
          </w:tcPr>
          <w:p w14:paraId="00B24679" w14:textId="77777777" w:rsidR="009A5FB6" w:rsidRDefault="0070015C" w:rsidP="0070015C">
            <w:pPr>
              <w:pStyle w:val="BodyText"/>
            </w:pPr>
            <w:r>
              <w:t>Review</w:t>
            </w:r>
            <w:r w:rsidR="009A5FB6">
              <w:t>ed by:</w:t>
            </w:r>
          </w:p>
        </w:tc>
        <w:tc>
          <w:tcPr>
            <w:tcW w:w="5300" w:type="dxa"/>
            <w:gridSpan w:val="2"/>
          </w:tcPr>
          <w:p w14:paraId="52462E27" w14:textId="77777777" w:rsidR="009A5FB6" w:rsidRDefault="009A5FB6" w:rsidP="00285CCE">
            <w:pPr>
              <w:pStyle w:val="BodyText"/>
              <w:jc w:val="center"/>
            </w:pPr>
          </w:p>
        </w:tc>
        <w:tc>
          <w:tcPr>
            <w:tcW w:w="3498" w:type="dxa"/>
            <w:gridSpan w:val="2"/>
          </w:tcPr>
          <w:p w14:paraId="69656FB9" w14:textId="77777777" w:rsidR="009A5FB6" w:rsidRDefault="009A5FB6" w:rsidP="00285CCE">
            <w:pPr>
              <w:pStyle w:val="BodyText"/>
              <w:jc w:val="center"/>
            </w:pPr>
          </w:p>
        </w:tc>
        <w:tc>
          <w:tcPr>
            <w:tcW w:w="3498" w:type="dxa"/>
            <w:gridSpan w:val="2"/>
          </w:tcPr>
          <w:p w14:paraId="737C048A" w14:textId="77777777" w:rsidR="009A5FB6" w:rsidRDefault="009A5FB6" w:rsidP="00285CCE">
            <w:pPr>
              <w:pStyle w:val="BodyText"/>
              <w:jc w:val="center"/>
            </w:pPr>
          </w:p>
        </w:tc>
      </w:tr>
      <w:tr w:rsidR="009A5FB6" w14:paraId="024F4B1C" w14:textId="77777777" w:rsidTr="00285CCE">
        <w:tc>
          <w:tcPr>
            <w:tcW w:w="1696" w:type="dxa"/>
            <w:vMerge/>
          </w:tcPr>
          <w:p w14:paraId="2BD961DF" w14:textId="77777777" w:rsidR="009A5FB6" w:rsidRDefault="009A5FB6" w:rsidP="00285CCE">
            <w:pPr>
              <w:pStyle w:val="BodyText"/>
            </w:pPr>
          </w:p>
        </w:tc>
        <w:tc>
          <w:tcPr>
            <w:tcW w:w="5064" w:type="dxa"/>
            <w:tcBorders>
              <w:top w:val="single" w:sz="4" w:space="0" w:color="auto"/>
            </w:tcBorders>
          </w:tcPr>
          <w:p w14:paraId="4D8C7C4E" w14:textId="77777777" w:rsidR="009A5FB6" w:rsidRDefault="009A5FB6" w:rsidP="00285CCE">
            <w:pPr>
              <w:pStyle w:val="BodyText"/>
              <w:jc w:val="center"/>
            </w:pPr>
            <w:r>
              <w:t>Name</w:t>
            </w:r>
          </w:p>
        </w:tc>
        <w:tc>
          <w:tcPr>
            <w:tcW w:w="236" w:type="dxa"/>
          </w:tcPr>
          <w:p w14:paraId="2189A370" w14:textId="77777777" w:rsidR="009A5FB6" w:rsidRDefault="009A5FB6" w:rsidP="00285CCE">
            <w:pPr>
              <w:pStyle w:val="BodyText"/>
              <w:jc w:val="center"/>
            </w:pPr>
          </w:p>
        </w:tc>
        <w:tc>
          <w:tcPr>
            <w:tcW w:w="3205" w:type="dxa"/>
            <w:tcBorders>
              <w:top w:val="single" w:sz="4" w:space="0" w:color="auto"/>
            </w:tcBorders>
          </w:tcPr>
          <w:p w14:paraId="384FD721" w14:textId="77777777" w:rsidR="009A5FB6" w:rsidRDefault="009A5FB6" w:rsidP="00285CCE">
            <w:pPr>
              <w:pStyle w:val="BodyText"/>
              <w:jc w:val="center"/>
            </w:pPr>
            <w:r>
              <w:t>Signature</w:t>
            </w:r>
          </w:p>
        </w:tc>
        <w:tc>
          <w:tcPr>
            <w:tcW w:w="293" w:type="dxa"/>
          </w:tcPr>
          <w:p w14:paraId="69FCE5DA" w14:textId="77777777" w:rsidR="009A5FB6" w:rsidRDefault="009A5FB6" w:rsidP="00285CCE">
            <w:pPr>
              <w:pStyle w:val="BodyText"/>
              <w:jc w:val="center"/>
            </w:pPr>
          </w:p>
        </w:tc>
        <w:tc>
          <w:tcPr>
            <w:tcW w:w="3251" w:type="dxa"/>
            <w:tcBorders>
              <w:top w:val="single" w:sz="4" w:space="0" w:color="auto"/>
            </w:tcBorders>
          </w:tcPr>
          <w:p w14:paraId="260AC65F" w14:textId="77777777" w:rsidR="009A5FB6" w:rsidRDefault="009A5FB6" w:rsidP="00285CCE">
            <w:pPr>
              <w:pStyle w:val="BodyText"/>
              <w:jc w:val="center"/>
            </w:pPr>
            <w:r>
              <w:t>Date</w:t>
            </w:r>
          </w:p>
        </w:tc>
        <w:tc>
          <w:tcPr>
            <w:tcW w:w="247" w:type="dxa"/>
          </w:tcPr>
          <w:p w14:paraId="0668ECC1" w14:textId="77777777" w:rsidR="009A5FB6" w:rsidRDefault="009A5FB6" w:rsidP="00285CCE">
            <w:pPr>
              <w:pStyle w:val="BodyText"/>
              <w:jc w:val="center"/>
            </w:pPr>
          </w:p>
        </w:tc>
      </w:tr>
    </w:tbl>
    <w:p w14:paraId="37011DFB" w14:textId="77777777" w:rsidR="0070015C" w:rsidRPr="0070015C" w:rsidRDefault="0070015C" w:rsidP="00000745">
      <w:pPr>
        <w:rPr>
          <w:b/>
        </w:rPr>
      </w:pPr>
      <w:r w:rsidRPr="0070015C">
        <w:rPr>
          <w:b/>
        </w:rPr>
        <w:t>Definitions</w:t>
      </w:r>
    </w:p>
    <w:tbl>
      <w:tblPr>
        <w:tblStyle w:val="TableGrid"/>
        <w:tblW w:w="0" w:type="auto"/>
        <w:tblInd w:w="-5" w:type="dxa"/>
        <w:tblLook w:val="04A0" w:firstRow="1" w:lastRow="0" w:firstColumn="1" w:lastColumn="0" w:noHBand="0" w:noVBand="1"/>
      </w:tblPr>
      <w:tblGrid>
        <w:gridCol w:w="3114"/>
        <w:gridCol w:w="10878"/>
      </w:tblGrid>
      <w:tr w:rsidR="0070015C" w:rsidRPr="00384E1F" w14:paraId="28913918" w14:textId="77777777" w:rsidTr="0070015C">
        <w:tc>
          <w:tcPr>
            <w:tcW w:w="3114" w:type="dxa"/>
            <w:vAlign w:val="top"/>
          </w:tcPr>
          <w:p w14:paraId="40E7F17D" w14:textId="77777777" w:rsidR="0070015C" w:rsidRPr="00384E1F" w:rsidRDefault="0070015C" w:rsidP="00F5798E">
            <w:pPr>
              <w:pStyle w:val="TableBodyTextsmall"/>
            </w:pPr>
            <w:r w:rsidRPr="00384E1F">
              <w:t>Conformance (C)</w:t>
            </w:r>
          </w:p>
        </w:tc>
        <w:tc>
          <w:tcPr>
            <w:tcW w:w="10878" w:type="dxa"/>
            <w:vAlign w:val="top"/>
          </w:tcPr>
          <w:p w14:paraId="1D2827F2" w14:textId="77777777" w:rsidR="0070015C" w:rsidRPr="00384E1F" w:rsidRDefault="0070015C" w:rsidP="00F5798E">
            <w:pPr>
              <w:pStyle w:val="TableBodyTextsmall"/>
            </w:pPr>
            <w:r w:rsidRPr="00384E1F">
              <w:t>Fulfilment of a requirement, either contractual or legislative.</w:t>
            </w:r>
          </w:p>
        </w:tc>
      </w:tr>
      <w:tr w:rsidR="0070015C" w:rsidRPr="00384E1F" w14:paraId="739FF4FD" w14:textId="77777777" w:rsidTr="0070015C">
        <w:tc>
          <w:tcPr>
            <w:tcW w:w="3114" w:type="dxa"/>
            <w:vAlign w:val="top"/>
          </w:tcPr>
          <w:p w14:paraId="664820D0" w14:textId="77777777" w:rsidR="0070015C" w:rsidRPr="00384E1F" w:rsidRDefault="0070015C" w:rsidP="00F5798E">
            <w:pPr>
              <w:pStyle w:val="TableBodyTextsmall"/>
            </w:pPr>
            <w:r w:rsidRPr="00384E1F">
              <w:t>Non-conformance (NC)</w:t>
            </w:r>
          </w:p>
        </w:tc>
        <w:tc>
          <w:tcPr>
            <w:tcW w:w="10878" w:type="dxa"/>
            <w:vAlign w:val="top"/>
          </w:tcPr>
          <w:p w14:paraId="781FB642" w14:textId="77777777" w:rsidR="0070015C" w:rsidRPr="00384E1F" w:rsidRDefault="0070015C" w:rsidP="00F5798E">
            <w:pPr>
              <w:pStyle w:val="TableBodyTextsmall"/>
            </w:pPr>
            <w:r w:rsidRPr="00384E1F">
              <w:t>A failure to comply with a requirement of contract.</w:t>
            </w:r>
          </w:p>
        </w:tc>
      </w:tr>
      <w:tr w:rsidR="0070015C" w:rsidRPr="00384E1F" w14:paraId="37BD5C93" w14:textId="77777777" w:rsidTr="0070015C">
        <w:tc>
          <w:tcPr>
            <w:tcW w:w="3114" w:type="dxa"/>
            <w:vAlign w:val="top"/>
          </w:tcPr>
          <w:p w14:paraId="5A868738" w14:textId="77777777" w:rsidR="0070015C" w:rsidRPr="00384E1F" w:rsidRDefault="0070015C" w:rsidP="00F5798E">
            <w:pPr>
              <w:pStyle w:val="TableBodyTextsmall"/>
            </w:pPr>
            <w:r w:rsidRPr="00384E1F">
              <w:t>Not Fully Verifiable (NFV)</w:t>
            </w:r>
          </w:p>
        </w:tc>
        <w:tc>
          <w:tcPr>
            <w:tcW w:w="10878" w:type="dxa"/>
            <w:vAlign w:val="top"/>
          </w:tcPr>
          <w:p w14:paraId="75FE4C2D" w14:textId="77777777" w:rsidR="0070015C" w:rsidRPr="00384E1F" w:rsidRDefault="0070015C" w:rsidP="00F5798E">
            <w:pPr>
              <w:pStyle w:val="TableBodyTextsmall"/>
            </w:pPr>
            <w:r w:rsidRPr="00384E1F">
              <w:t>There was insufficient evidence to determine conformance or non-conformance.</w:t>
            </w:r>
          </w:p>
        </w:tc>
      </w:tr>
      <w:tr w:rsidR="0070015C" w14:paraId="4F6E71C2" w14:textId="77777777" w:rsidTr="0070015C">
        <w:tc>
          <w:tcPr>
            <w:tcW w:w="3114" w:type="dxa"/>
          </w:tcPr>
          <w:p w14:paraId="7695418D" w14:textId="77777777" w:rsidR="0070015C" w:rsidRPr="00384E1F" w:rsidRDefault="0070015C" w:rsidP="00F5798E">
            <w:pPr>
              <w:pStyle w:val="TableBodyTextsmall"/>
            </w:pPr>
            <w:r w:rsidRPr="00384E1F">
              <w:t>Observation (O)</w:t>
            </w:r>
          </w:p>
        </w:tc>
        <w:tc>
          <w:tcPr>
            <w:tcW w:w="10878" w:type="dxa"/>
            <w:vAlign w:val="top"/>
          </w:tcPr>
          <w:p w14:paraId="5700A95E" w14:textId="77777777" w:rsidR="0070015C" w:rsidRDefault="0070015C" w:rsidP="00F5798E">
            <w:pPr>
              <w:pStyle w:val="TableBodyTextsmall"/>
            </w:pPr>
            <w:r w:rsidRPr="00384E1F">
              <w:t>A positive or negative comment of the auditor based on evidence and/or an obs</w:t>
            </w:r>
            <w:r>
              <w:t xml:space="preserve">ervation made during the audit. </w:t>
            </w:r>
            <w:r w:rsidRPr="00384E1F">
              <w:t>Observations may or may not suggest corrective actions.</w:t>
            </w:r>
          </w:p>
        </w:tc>
      </w:tr>
    </w:tbl>
    <w:p w14:paraId="5B0F0DEB" w14:textId="77777777" w:rsidR="0070015C" w:rsidRDefault="0070015C" w:rsidP="00BF0206">
      <w:pPr>
        <w:spacing w:after="0" w:line="240" w:lineRule="auto"/>
      </w:pPr>
    </w:p>
    <w:sectPr w:rsidR="0070015C" w:rsidSect="00F5798E">
      <w:headerReference w:type="default" r:id="rId11"/>
      <w:footerReference w:type="default" r:id="rId12"/>
      <w:headerReference w:type="first" r:id="rId13"/>
      <w:pgSz w:w="16838" w:h="11906" w:orient="landscape" w:code="9"/>
      <w:pgMar w:top="1843" w:right="1418" w:bottom="993"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B22F" w14:textId="77777777" w:rsidR="00615A30" w:rsidRDefault="00615A30">
      <w:r>
        <w:separator/>
      </w:r>
    </w:p>
    <w:p w14:paraId="03697A16" w14:textId="77777777" w:rsidR="00615A30" w:rsidRDefault="00615A30"/>
  </w:endnote>
  <w:endnote w:type="continuationSeparator" w:id="0">
    <w:p w14:paraId="645786FF" w14:textId="77777777" w:rsidR="00615A30" w:rsidRDefault="00615A30">
      <w:r>
        <w:continuationSeparator/>
      </w:r>
    </w:p>
    <w:p w14:paraId="0CE2BDCE" w14:textId="77777777" w:rsidR="00615A30" w:rsidRDefault="00615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22F3" w14:textId="29F052C0" w:rsidR="00AE1081" w:rsidRDefault="00AE1081">
    <w:pPr>
      <w:pStyle w:val="Footer"/>
    </w:pPr>
    <w:r>
      <w:t>Contract Administration System, Transport and Main Roads </w:t>
    </w:r>
    <w:r w:rsidR="00E6028E">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E688" w14:textId="77777777" w:rsidR="00615A30" w:rsidRDefault="00615A30">
      <w:r>
        <w:separator/>
      </w:r>
    </w:p>
    <w:p w14:paraId="70B9DA67" w14:textId="77777777" w:rsidR="00615A30" w:rsidRDefault="00615A30"/>
  </w:footnote>
  <w:footnote w:type="continuationSeparator" w:id="0">
    <w:p w14:paraId="0744CB61" w14:textId="77777777" w:rsidR="00615A30" w:rsidRDefault="00615A30">
      <w:r>
        <w:continuationSeparator/>
      </w:r>
    </w:p>
    <w:p w14:paraId="753B0022" w14:textId="77777777" w:rsidR="00615A30" w:rsidRDefault="00615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3FDB" w14:textId="77777777" w:rsidR="00341953" w:rsidRPr="000B167C" w:rsidRDefault="00AE1081" w:rsidP="009A5FB6">
    <w:pPr>
      <w:pStyle w:val="HeaderChapterpart"/>
    </w:pPr>
    <w:r>
      <w:t xml:space="preserve">Checklist </w:t>
    </w:r>
    <w:r w:rsidR="00F101B2">
      <w:t>CAC0</w:t>
    </w:r>
    <w:r w:rsidR="0041035C">
      <w:t>6</w:t>
    </w:r>
    <w:r w:rsidR="00A02CDA">
      <w:t>8</w:t>
    </w:r>
    <w:r w:rsidR="00F101B2">
      <w:t>M</w:t>
    </w:r>
    <w:r w:rsidR="00000745">
      <w:t xml:space="preserve">, </w:t>
    </w:r>
    <w:r w:rsidR="00000745" w:rsidRPr="00000745">
      <w:t>Severe Weather Management Plan (Conditions of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B78D" w14:textId="33DC3065" w:rsidR="003130F0" w:rsidRDefault="00E6028E">
    <w:pPr>
      <w:pStyle w:val="Header"/>
    </w:pPr>
    <w:r>
      <w:rPr>
        <w:noProof/>
      </w:rPr>
      <w:drawing>
        <wp:anchor distT="0" distB="0" distL="114300" distR="114300" simplePos="0" relativeHeight="251659264" behindDoc="1" locked="0" layoutInCell="1" allowOverlap="1" wp14:anchorId="21394FD3" wp14:editId="22EE70B6">
          <wp:simplePos x="0" y="0"/>
          <wp:positionH relativeFrom="page">
            <wp:posOffset>17291</wp:posOffset>
          </wp:positionH>
          <wp:positionV relativeFrom="paragraph">
            <wp:posOffset>-274173</wp:posOffset>
          </wp:positionV>
          <wp:extent cx="10693400" cy="7559675"/>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0" cy="75596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D24"/>
    <w:multiLevelType w:val="multilevel"/>
    <w:tmpl w:val="B2B20138"/>
    <w:numStyleLink w:val="TableListAllLetter3level"/>
  </w:abstractNum>
  <w:abstractNum w:abstractNumId="1" w15:restartNumberingAfterBreak="0">
    <w:nsid w:val="08D034C7"/>
    <w:multiLevelType w:val="multilevel"/>
    <w:tmpl w:val="75362138"/>
    <w:lvl w:ilvl="0">
      <w:start w:val="3"/>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FE7B57"/>
    <w:multiLevelType w:val="multilevel"/>
    <w:tmpl w:val="65AABFF0"/>
    <w:lvl w:ilvl="0">
      <w:start w:val="3"/>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67E5665"/>
    <w:multiLevelType w:val="hybridMultilevel"/>
    <w:tmpl w:val="67E8AD2A"/>
    <w:lvl w:ilvl="0" w:tplc="3E887BB4">
      <w:start w:val="1"/>
      <w:numFmt w:val="lowerLetter"/>
      <w:pStyle w:val="abc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CDA62BE"/>
    <w:multiLevelType w:val="multilevel"/>
    <w:tmpl w:val="7F2677B2"/>
    <w:lvl w:ilvl="0">
      <w:start w:val="1"/>
      <w:numFmt w:val="lowerLetter"/>
      <w:lvlText w:val="%1)"/>
      <w:lvlJc w:val="left"/>
      <w:pPr>
        <w:tabs>
          <w:tab w:val="num" w:pos="227"/>
        </w:tabs>
        <w:ind w:left="227" w:hanging="227"/>
      </w:pPr>
      <w:rPr>
        <w:rFonts w:ascii="Arial" w:hAnsi="Arial" w:hint="default"/>
        <w:sz w:val="20"/>
      </w:rPr>
    </w:lvl>
    <w:lvl w:ilvl="1">
      <w:start w:val="2"/>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8B0774F"/>
    <w:multiLevelType w:val="multilevel"/>
    <w:tmpl w:val="620CC31C"/>
    <w:numStyleLink w:val="ListAllBullets3Level"/>
  </w:abstractNum>
  <w:abstractNum w:abstractNumId="13" w15:restartNumberingAfterBreak="0">
    <w:nsid w:val="3AD66AEC"/>
    <w:multiLevelType w:val="multilevel"/>
    <w:tmpl w:val="CA6AE6AA"/>
    <w:lvl w:ilvl="0">
      <w:start w:val="1"/>
      <w:numFmt w:val="lowerLetter"/>
      <w:lvlText w:val="%1)"/>
      <w:lvlJc w:val="left"/>
      <w:pPr>
        <w:tabs>
          <w:tab w:val="num" w:pos="227"/>
        </w:tabs>
        <w:ind w:left="227" w:hanging="227"/>
      </w:pPr>
      <w:rPr>
        <w:rFonts w:ascii="Arial" w:hAnsi="Arial" w:hint="default"/>
        <w:sz w:val="20"/>
      </w:rPr>
    </w:lvl>
    <w:lvl w:ilvl="1">
      <w:start w:val="3"/>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5"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48495AD7"/>
    <w:multiLevelType w:val="multilevel"/>
    <w:tmpl w:val="B2B20138"/>
    <w:numStyleLink w:val="TableListAllLetter3level"/>
  </w:abstractNum>
  <w:abstractNum w:abstractNumId="17" w15:restartNumberingAfterBreak="0">
    <w:nsid w:val="52DB6541"/>
    <w:multiLevelType w:val="multilevel"/>
    <w:tmpl w:val="177C666C"/>
    <w:lvl w:ilvl="0">
      <w:start w:val="3"/>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5CB24D4"/>
    <w:multiLevelType w:val="hybridMultilevel"/>
    <w:tmpl w:val="DF9290A2"/>
    <w:lvl w:ilvl="0" w:tplc="AB2AF43E">
      <w:start w:val="1"/>
      <w:numFmt w:val="lowerLetter"/>
      <w:lvlText w:val="%1)"/>
      <w:lvlJc w:val="right"/>
      <w:pPr>
        <w:ind w:left="748" w:hanging="360"/>
      </w:pPr>
      <w:rPr>
        <w:rFonts w:hint="default"/>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9" w15:restartNumberingAfterBreak="0">
    <w:nsid w:val="58A8746A"/>
    <w:multiLevelType w:val="multilevel"/>
    <w:tmpl w:val="2FEE3474"/>
    <w:lvl w:ilvl="0">
      <w:start w:val="6"/>
      <w:numFmt w:val="lowerLetter"/>
      <w:lvlText w:val="%1)"/>
      <w:lvlJc w:val="left"/>
      <w:pPr>
        <w:tabs>
          <w:tab w:val="num" w:pos="227"/>
        </w:tabs>
        <w:ind w:left="227" w:hanging="227"/>
      </w:pPr>
      <w:rPr>
        <w:rFonts w:ascii="Arial" w:hAnsi="Arial" w:hint="default"/>
        <w:sz w:val="20"/>
      </w:rPr>
    </w:lvl>
    <w:lvl w:ilvl="1">
      <w:start w:val="4"/>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B5F59CF"/>
    <w:multiLevelType w:val="multilevel"/>
    <w:tmpl w:val="9EBAD964"/>
    <w:lvl w:ilvl="0">
      <w:start w:val="3"/>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C1E6477"/>
    <w:multiLevelType w:val="hybridMultilevel"/>
    <w:tmpl w:val="295C233A"/>
    <w:lvl w:ilvl="0" w:tplc="E03C09E8">
      <w:start w:val="1"/>
      <w:numFmt w:val="bullet"/>
      <w:pStyle w:val="Bulletedlis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16cid:durableId="1011226230">
    <w:abstractNumId w:val="7"/>
  </w:num>
  <w:num w:numId="2" w16cid:durableId="1041636077">
    <w:abstractNumId w:val="14"/>
  </w:num>
  <w:num w:numId="3" w16cid:durableId="360252944">
    <w:abstractNumId w:val="20"/>
  </w:num>
  <w:num w:numId="4" w16cid:durableId="606736580">
    <w:abstractNumId w:val="2"/>
  </w:num>
  <w:num w:numId="5" w16cid:durableId="927077834">
    <w:abstractNumId w:val="9"/>
  </w:num>
  <w:num w:numId="6" w16cid:durableId="779186195">
    <w:abstractNumId w:val="8"/>
  </w:num>
  <w:num w:numId="7" w16cid:durableId="1413312311">
    <w:abstractNumId w:val="5"/>
  </w:num>
  <w:num w:numId="8" w16cid:durableId="1194729757">
    <w:abstractNumId w:val="12"/>
  </w:num>
  <w:num w:numId="9" w16cid:durableId="1577940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5359302">
    <w:abstractNumId w:val="4"/>
  </w:num>
  <w:num w:numId="11" w16cid:durableId="1228613518">
    <w:abstractNumId w:val="6"/>
  </w:num>
  <w:num w:numId="12" w16cid:durableId="504632588">
    <w:abstractNumId w:val="15"/>
  </w:num>
  <w:num w:numId="13" w16cid:durableId="1479225576">
    <w:abstractNumId w:val="22"/>
  </w:num>
  <w:num w:numId="14" w16cid:durableId="858809304">
    <w:abstractNumId w:val="10"/>
  </w:num>
  <w:num w:numId="15" w16cid:durableId="669795459">
    <w:abstractNumId w:val="21"/>
  </w:num>
  <w:num w:numId="16" w16cid:durableId="1849639274">
    <w:abstractNumId w:val="11"/>
  </w:num>
  <w:num w:numId="17" w16cid:durableId="519006749">
    <w:abstractNumId w:val="13"/>
  </w:num>
  <w:num w:numId="18" w16cid:durableId="851144134">
    <w:abstractNumId w:val="0"/>
  </w:num>
  <w:num w:numId="19" w16cid:durableId="1136795721">
    <w:abstractNumId w:val="19"/>
  </w:num>
  <w:num w:numId="20" w16cid:durableId="1795756691">
    <w:abstractNumId w:val="16"/>
  </w:num>
  <w:num w:numId="21" w16cid:durableId="1096903943">
    <w:abstractNumId w:val="18"/>
  </w:num>
  <w:num w:numId="22" w16cid:durableId="1219972611">
    <w:abstractNumId w:val="1"/>
  </w:num>
  <w:num w:numId="23" w16cid:durableId="693074280">
    <w:abstractNumId w:val="3"/>
  </w:num>
  <w:num w:numId="24" w16cid:durableId="428477385">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0745"/>
    <w:rsid w:val="000157CD"/>
    <w:rsid w:val="00017E9F"/>
    <w:rsid w:val="00022028"/>
    <w:rsid w:val="00022FEC"/>
    <w:rsid w:val="00023831"/>
    <w:rsid w:val="000313CD"/>
    <w:rsid w:val="00042CEB"/>
    <w:rsid w:val="0006499F"/>
    <w:rsid w:val="00066DBE"/>
    <w:rsid w:val="0006713E"/>
    <w:rsid w:val="00070044"/>
    <w:rsid w:val="000713CD"/>
    <w:rsid w:val="0007165A"/>
    <w:rsid w:val="000722D5"/>
    <w:rsid w:val="000913ED"/>
    <w:rsid w:val="00096FC7"/>
    <w:rsid w:val="000A45C7"/>
    <w:rsid w:val="000B047B"/>
    <w:rsid w:val="000B167C"/>
    <w:rsid w:val="000B71E8"/>
    <w:rsid w:val="000E1CE3"/>
    <w:rsid w:val="000F27B8"/>
    <w:rsid w:val="0010528D"/>
    <w:rsid w:val="00115E98"/>
    <w:rsid w:val="00125B5A"/>
    <w:rsid w:val="001276D9"/>
    <w:rsid w:val="00133A44"/>
    <w:rsid w:val="00172FEB"/>
    <w:rsid w:val="00174FFD"/>
    <w:rsid w:val="00176CC5"/>
    <w:rsid w:val="001A2DAD"/>
    <w:rsid w:val="001A4752"/>
    <w:rsid w:val="001A697D"/>
    <w:rsid w:val="001A7C0A"/>
    <w:rsid w:val="001B1393"/>
    <w:rsid w:val="001C6957"/>
    <w:rsid w:val="001C6D5F"/>
    <w:rsid w:val="001E25FC"/>
    <w:rsid w:val="001E3E78"/>
    <w:rsid w:val="001E798E"/>
    <w:rsid w:val="001F2035"/>
    <w:rsid w:val="002021CC"/>
    <w:rsid w:val="00216756"/>
    <w:rsid w:val="00216993"/>
    <w:rsid w:val="00216F79"/>
    <w:rsid w:val="00217457"/>
    <w:rsid w:val="00231903"/>
    <w:rsid w:val="00232573"/>
    <w:rsid w:val="00234B98"/>
    <w:rsid w:val="002405CD"/>
    <w:rsid w:val="002407FF"/>
    <w:rsid w:val="00242C60"/>
    <w:rsid w:val="00246798"/>
    <w:rsid w:val="002669B1"/>
    <w:rsid w:val="00271868"/>
    <w:rsid w:val="002738CB"/>
    <w:rsid w:val="00273C11"/>
    <w:rsid w:val="00275DDB"/>
    <w:rsid w:val="00277E0F"/>
    <w:rsid w:val="00280F72"/>
    <w:rsid w:val="002825B5"/>
    <w:rsid w:val="002846BB"/>
    <w:rsid w:val="00287680"/>
    <w:rsid w:val="002A27CC"/>
    <w:rsid w:val="002A50A0"/>
    <w:rsid w:val="002C2F25"/>
    <w:rsid w:val="002E0B83"/>
    <w:rsid w:val="002E1EE7"/>
    <w:rsid w:val="002E6EBF"/>
    <w:rsid w:val="002F2356"/>
    <w:rsid w:val="0030503A"/>
    <w:rsid w:val="003108B7"/>
    <w:rsid w:val="003130F0"/>
    <w:rsid w:val="00315F53"/>
    <w:rsid w:val="00322F9D"/>
    <w:rsid w:val="003231FA"/>
    <w:rsid w:val="003323B1"/>
    <w:rsid w:val="00336228"/>
    <w:rsid w:val="00341953"/>
    <w:rsid w:val="00350E10"/>
    <w:rsid w:val="00361264"/>
    <w:rsid w:val="00363C04"/>
    <w:rsid w:val="00366562"/>
    <w:rsid w:val="003717FA"/>
    <w:rsid w:val="00376A0A"/>
    <w:rsid w:val="00383A3B"/>
    <w:rsid w:val="00391457"/>
    <w:rsid w:val="003960ED"/>
    <w:rsid w:val="003A5033"/>
    <w:rsid w:val="003A59BB"/>
    <w:rsid w:val="003C340E"/>
    <w:rsid w:val="003D1729"/>
    <w:rsid w:val="003D6B95"/>
    <w:rsid w:val="003E0E9D"/>
    <w:rsid w:val="003E3C82"/>
    <w:rsid w:val="00400CF8"/>
    <w:rsid w:val="004030EB"/>
    <w:rsid w:val="00403422"/>
    <w:rsid w:val="0041035C"/>
    <w:rsid w:val="004525EA"/>
    <w:rsid w:val="00456933"/>
    <w:rsid w:val="00456A07"/>
    <w:rsid w:val="00477792"/>
    <w:rsid w:val="00477962"/>
    <w:rsid w:val="00485DDC"/>
    <w:rsid w:val="00491FBA"/>
    <w:rsid w:val="004A5F84"/>
    <w:rsid w:val="004D2E76"/>
    <w:rsid w:val="004E3F40"/>
    <w:rsid w:val="004E49B7"/>
    <w:rsid w:val="004F4085"/>
    <w:rsid w:val="00501027"/>
    <w:rsid w:val="005036B2"/>
    <w:rsid w:val="00521D18"/>
    <w:rsid w:val="005233EF"/>
    <w:rsid w:val="00526282"/>
    <w:rsid w:val="00530265"/>
    <w:rsid w:val="00531F22"/>
    <w:rsid w:val="005424A4"/>
    <w:rsid w:val="00556E72"/>
    <w:rsid w:val="005748A5"/>
    <w:rsid w:val="005755EC"/>
    <w:rsid w:val="00575CE8"/>
    <w:rsid w:val="005815CB"/>
    <w:rsid w:val="00582599"/>
    <w:rsid w:val="00582E91"/>
    <w:rsid w:val="0059511F"/>
    <w:rsid w:val="005C1DF1"/>
    <w:rsid w:val="005C24E0"/>
    <w:rsid w:val="005D3973"/>
    <w:rsid w:val="005D59C0"/>
    <w:rsid w:val="005D6625"/>
    <w:rsid w:val="005E70F2"/>
    <w:rsid w:val="0060080E"/>
    <w:rsid w:val="0061185E"/>
    <w:rsid w:val="00614210"/>
    <w:rsid w:val="00615A30"/>
    <w:rsid w:val="00622BC5"/>
    <w:rsid w:val="00627EC8"/>
    <w:rsid w:val="00635475"/>
    <w:rsid w:val="00635B97"/>
    <w:rsid w:val="00641639"/>
    <w:rsid w:val="00645A39"/>
    <w:rsid w:val="006563C9"/>
    <w:rsid w:val="00666E20"/>
    <w:rsid w:val="0066707C"/>
    <w:rsid w:val="00676214"/>
    <w:rsid w:val="00686875"/>
    <w:rsid w:val="006A6908"/>
    <w:rsid w:val="006C2B1A"/>
    <w:rsid w:val="006D2668"/>
    <w:rsid w:val="006D2FDF"/>
    <w:rsid w:val="006D52CB"/>
    <w:rsid w:val="006D553A"/>
    <w:rsid w:val="0070015C"/>
    <w:rsid w:val="00723F1A"/>
    <w:rsid w:val="00730C95"/>
    <w:rsid w:val="007329F6"/>
    <w:rsid w:val="007462A6"/>
    <w:rsid w:val="007672DC"/>
    <w:rsid w:val="0077261D"/>
    <w:rsid w:val="00785550"/>
    <w:rsid w:val="00793FA9"/>
    <w:rsid w:val="007950EB"/>
    <w:rsid w:val="00796D7D"/>
    <w:rsid w:val="007B5DFA"/>
    <w:rsid w:val="007C4319"/>
    <w:rsid w:val="007C4B1D"/>
    <w:rsid w:val="007D0963"/>
    <w:rsid w:val="007D19AC"/>
    <w:rsid w:val="007D76AC"/>
    <w:rsid w:val="007E073E"/>
    <w:rsid w:val="00811807"/>
    <w:rsid w:val="00814D35"/>
    <w:rsid w:val="008333A5"/>
    <w:rsid w:val="0086326C"/>
    <w:rsid w:val="008807C8"/>
    <w:rsid w:val="008843E8"/>
    <w:rsid w:val="00884860"/>
    <w:rsid w:val="00893A53"/>
    <w:rsid w:val="008A19A0"/>
    <w:rsid w:val="008B3748"/>
    <w:rsid w:val="008B61BF"/>
    <w:rsid w:val="008D02E2"/>
    <w:rsid w:val="008F36D9"/>
    <w:rsid w:val="008F47F2"/>
    <w:rsid w:val="00904118"/>
    <w:rsid w:val="0091452E"/>
    <w:rsid w:val="00914BFE"/>
    <w:rsid w:val="00926AFF"/>
    <w:rsid w:val="00937DB8"/>
    <w:rsid w:val="00940C46"/>
    <w:rsid w:val="00944A3A"/>
    <w:rsid w:val="00945942"/>
    <w:rsid w:val="009712C0"/>
    <w:rsid w:val="00973A98"/>
    <w:rsid w:val="00983CC7"/>
    <w:rsid w:val="0098641F"/>
    <w:rsid w:val="00996C59"/>
    <w:rsid w:val="009A5FB6"/>
    <w:rsid w:val="009A671A"/>
    <w:rsid w:val="009B39D2"/>
    <w:rsid w:val="009B6FF8"/>
    <w:rsid w:val="009D681E"/>
    <w:rsid w:val="009E22DF"/>
    <w:rsid w:val="009E5C89"/>
    <w:rsid w:val="009F599F"/>
    <w:rsid w:val="00A00F46"/>
    <w:rsid w:val="00A02CDA"/>
    <w:rsid w:val="00A121EB"/>
    <w:rsid w:val="00A12D4E"/>
    <w:rsid w:val="00A20B17"/>
    <w:rsid w:val="00A27877"/>
    <w:rsid w:val="00A52AB4"/>
    <w:rsid w:val="00A73EAA"/>
    <w:rsid w:val="00A76A5E"/>
    <w:rsid w:val="00A832D7"/>
    <w:rsid w:val="00A9555C"/>
    <w:rsid w:val="00A97046"/>
    <w:rsid w:val="00AA18F5"/>
    <w:rsid w:val="00AA6B2F"/>
    <w:rsid w:val="00AA7630"/>
    <w:rsid w:val="00AA7C6C"/>
    <w:rsid w:val="00AB5329"/>
    <w:rsid w:val="00AC154D"/>
    <w:rsid w:val="00AC4DD9"/>
    <w:rsid w:val="00AC5414"/>
    <w:rsid w:val="00AD4D04"/>
    <w:rsid w:val="00AD7634"/>
    <w:rsid w:val="00AE06C1"/>
    <w:rsid w:val="00AE1081"/>
    <w:rsid w:val="00AE43B4"/>
    <w:rsid w:val="00AE72A9"/>
    <w:rsid w:val="00AE78C4"/>
    <w:rsid w:val="00AF7DD6"/>
    <w:rsid w:val="00B24677"/>
    <w:rsid w:val="00B249E6"/>
    <w:rsid w:val="00B251B8"/>
    <w:rsid w:val="00B35FD7"/>
    <w:rsid w:val="00B4064C"/>
    <w:rsid w:val="00B63352"/>
    <w:rsid w:val="00B705E6"/>
    <w:rsid w:val="00B712C5"/>
    <w:rsid w:val="00B75E72"/>
    <w:rsid w:val="00B8333F"/>
    <w:rsid w:val="00B8519F"/>
    <w:rsid w:val="00BB09C2"/>
    <w:rsid w:val="00BB468F"/>
    <w:rsid w:val="00BC17C8"/>
    <w:rsid w:val="00BC3ED2"/>
    <w:rsid w:val="00BC68B8"/>
    <w:rsid w:val="00BD257C"/>
    <w:rsid w:val="00BD5378"/>
    <w:rsid w:val="00BD7A74"/>
    <w:rsid w:val="00BE327E"/>
    <w:rsid w:val="00BE6F04"/>
    <w:rsid w:val="00BF0206"/>
    <w:rsid w:val="00BF0295"/>
    <w:rsid w:val="00BF2FA5"/>
    <w:rsid w:val="00BF373B"/>
    <w:rsid w:val="00BF7B37"/>
    <w:rsid w:val="00C33EEE"/>
    <w:rsid w:val="00C34106"/>
    <w:rsid w:val="00C352F9"/>
    <w:rsid w:val="00C50278"/>
    <w:rsid w:val="00C76378"/>
    <w:rsid w:val="00C81006"/>
    <w:rsid w:val="00C965C0"/>
    <w:rsid w:val="00CA107F"/>
    <w:rsid w:val="00CA3157"/>
    <w:rsid w:val="00CA4B9D"/>
    <w:rsid w:val="00CB17FE"/>
    <w:rsid w:val="00CD30F9"/>
    <w:rsid w:val="00CE6618"/>
    <w:rsid w:val="00CE73A4"/>
    <w:rsid w:val="00CF5FFE"/>
    <w:rsid w:val="00D00ECB"/>
    <w:rsid w:val="00D01D6F"/>
    <w:rsid w:val="00D12160"/>
    <w:rsid w:val="00D124FD"/>
    <w:rsid w:val="00D137DA"/>
    <w:rsid w:val="00D15248"/>
    <w:rsid w:val="00D435F2"/>
    <w:rsid w:val="00D56593"/>
    <w:rsid w:val="00D67F00"/>
    <w:rsid w:val="00D8447C"/>
    <w:rsid w:val="00D84B50"/>
    <w:rsid w:val="00D86598"/>
    <w:rsid w:val="00DA20DD"/>
    <w:rsid w:val="00DC076F"/>
    <w:rsid w:val="00DC376C"/>
    <w:rsid w:val="00DE56ED"/>
    <w:rsid w:val="00DF1C54"/>
    <w:rsid w:val="00DF27E0"/>
    <w:rsid w:val="00DF40B1"/>
    <w:rsid w:val="00E148E0"/>
    <w:rsid w:val="00E51F48"/>
    <w:rsid w:val="00E57C45"/>
    <w:rsid w:val="00E6028E"/>
    <w:rsid w:val="00E70EA9"/>
    <w:rsid w:val="00E8162F"/>
    <w:rsid w:val="00E84619"/>
    <w:rsid w:val="00E91019"/>
    <w:rsid w:val="00E96F32"/>
    <w:rsid w:val="00EA319A"/>
    <w:rsid w:val="00EC0517"/>
    <w:rsid w:val="00ED06E5"/>
    <w:rsid w:val="00ED5C9C"/>
    <w:rsid w:val="00EE3AA3"/>
    <w:rsid w:val="00EE7EEC"/>
    <w:rsid w:val="00EF2FDD"/>
    <w:rsid w:val="00F00243"/>
    <w:rsid w:val="00F101B2"/>
    <w:rsid w:val="00F11D1E"/>
    <w:rsid w:val="00F15554"/>
    <w:rsid w:val="00F16B95"/>
    <w:rsid w:val="00F30D7C"/>
    <w:rsid w:val="00F322FA"/>
    <w:rsid w:val="00F44BA4"/>
    <w:rsid w:val="00F45A8D"/>
    <w:rsid w:val="00F5798E"/>
    <w:rsid w:val="00F64B7F"/>
    <w:rsid w:val="00F70E96"/>
    <w:rsid w:val="00F87D4E"/>
    <w:rsid w:val="00FA5570"/>
    <w:rsid w:val="00FA752B"/>
    <w:rsid w:val="00FB1E71"/>
    <w:rsid w:val="00FB649B"/>
    <w:rsid w:val="00FB66C6"/>
    <w:rsid w:val="00FC0A11"/>
    <w:rsid w:val="00FC2AE6"/>
    <w:rsid w:val="00FC5568"/>
    <w:rsid w:val="00FC5DE8"/>
    <w:rsid w:val="00FC7935"/>
    <w:rsid w:val="00FD514B"/>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8F4287A"/>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customStyle="1" w:styleId="Bulletedlist">
    <w:name w:val="Bulleted list"/>
    <w:basedOn w:val="TableBodyText"/>
    <w:qFormat/>
    <w:rsid w:val="00B63352"/>
    <w:pPr>
      <w:keepNext/>
      <w:keepLines/>
      <w:numPr>
        <w:numId w:val="13"/>
      </w:numPr>
      <w:ind w:left="322" w:hanging="283"/>
    </w:pPr>
  </w:style>
  <w:style w:type="paragraph" w:customStyle="1" w:styleId="abclist">
    <w:name w:val="abc list"/>
    <w:basedOn w:val="Normal"/>
    <w:rsid w:val="0070015C"/>
    <w:pPr>
      <w:keepNext/>
      <w:keepLines/>
      <w:numPr>
        <w:numId w:val="14"/>
      </w:numPr>
      <w:spacing w:before="60" w:after="60" w:line="240" w:lineRule="auto"/>
      <w:ind w:left="323" w:right="198" w:hanging="323"/>
    </w:pPr>
    <w:rPr>
      <w:rFonts w:cs="Arial"/>
      <w:color w:val="000000"/>
      <w:szCs w:val="20"/>
    </w:rPr>
  </w:style>
  <w:style w:type="paragraph" w:customStyle="1" w:styleId="Default">
    <w:name w:val="Default"/>
    <w:rsid w:val="0070015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0713CD"/>
    <w:rPr>
      <w:sz w:val="16"/>
      <w:szCs w:val="16"/>
    </w:rPr>
  </w:style>
  <w:style w:type="paragraph" w:styleId="CommentText">
    <w:name w:val="annotation text"/>
    <w:basedOn w:val="Normal"/>
    <w:link w:val="CommentTextChar"/>
    <w:rsid w:val="000713CD"/>
    <w:pPr>
      <w:spacing w:line="240" w:lineRule="auto"/>
    </w:pPr>
    <w:rPr>
      <w:szCs w:val="20"/>
    </w:rPr>
  </w:style>
  <w:style w:type="character" w:customStyle="1" w:styleId="CommentTextChar">
    <w:name w:val="Comment Text Char"/>
    <w:basedOn w:val="DefaultParagraphFont"/>
    <w:link w:val="CommentText"/>
    <w:rsid w:val="000713CD"/>
    <w:rPr>
      <w:rFonts w:ascii="Arial" w:hAnsi="Arial"/>
    </w:rPr>
  </w:style>
  <w:style w:type="paragraph" w:styleId="CommentSubject">
    <w:name w:val="annotation subject"/>
    <w:basedOn w:val="CommentText"/>
    <w:next w:val="CommentText"/>
    <w:link w:val="CommentSubjectChar"/>
    <w:rsid w:val="000713CD"/>
    <w:rPr>
      <w:b/>
      <w:bCs/>
    </w:rPr>
  </w:style>
  <w:style w:type="character" w:customStyle="1" w:styleId="CommentSubjectChar">
    <w:name w:val="Comment Subject Char"/>
    <w:basedOn w:val="CommentTextChar"/>
    <w:link w:val="CommentSubject"/>
    <w:rsid w:val="000713CD"/>
    <w:rPr>
      <w:rFonts w:ascii="Arial" w:hAnsi="Arial"/>
      <w:b/>
      <w:bCs/>
    </w:rPr>
  </w:style>
  <w:style w:type="paragraph" w:styleId="Revision">
    <w:name w:val="Revision"/>
    <w:hidden/>
    <w:uiPriority w:val="99"/>
    <w:semiHidden/>
    <w:rsid w:val="0021699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5A88155A-B3AD-4B8B-84F8-2AB720732F9B}">
  <ds:schemaRef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ec972935-d489-4a83-af2a-c34816ed2832"/>
    <ds:schemaRef ds:uri="http://purl.org/dc/dcmitype/"/>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239</TotalTime>
  <Pages>3</Pages>
  <Words>470</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CAC068M - Severe Weather Management Plan (Conditions of Contract)</vt:lpstr>
    </vt:vector>
  </TitlesOfParts>
  <Company>Department of Transport and Main Roads</Company>
  <LinksUpToDate>false</LinksUpToDate>
  <CharactersWithSpaces>3131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CAC068M - Severe Weather Management Plan (Conditions of Contract)</dc:title>
  <dc:subject>Contract Administration System (CAS)</dc:subject>
  <dc:creator>Department of Transport and Main Roads</dc:creator>
  <cp:keywords>Contract; CAS; Checklist; CAC068M; EP146; General Conditions of Contract</cp:keywords>
  <dc:description/>
  <cp:lastModifiedBy>Lisa X Mudie</cp:lastModifiedBy>
  <cp:revision>13</cp:revision>
  <cp:lastPrinted>2013-06-20T03:17:00Z</cp:lastPrinted>
  <dcterms:created xsi:type="dcterms:W3CDTF">2019-02-26T05:15:00Z</dcterms:created>
  <dcterms:modified xsi:type="dcterms:W3CDTF">2026-03-04T01:31:00Z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