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64" w:rsidRDefault="0045755B" w:rsidP="00B8333F">
      <w:pPr>
        <w:pStyle w:val="BodyText"/>
      </w:pPr>
      <w:r w:rsidRPr="0045755B">
        <w:t xml:space="preserve">The Tenderer’s </w:t>
      </w:r>
      <w:r w:rsidR="00DB6247">
        <w:t>attention is directed to Clause </w:t>
      </w:r>
      <w:r w:rsidRPr="0045755B">
        <w:t>30.4 of the Conditions of Tendering.</w:t>
      </w:r>
      <w:r w:rsidR="00DB6247">
        <w:t xml:space="preserve"> </w:t>
      </w:r>
      <w:r w:rsidRPr="0045755B">
        <w:t>The Tenderer must provide all relevant information nominated below.</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2126"/>
        <w:gridCol w:w="2948"/>
      </w:tblGrid>
      <w:tr w:rsidR="0045755B" w:rsidTr="00D33D30">
        <w:tc>
          <w:tcPr>
            <w:tcW w:w="3998" w:type="dxa"/>
            <w:shd w:val="clear" w:color="auto" w:fill="D9D9D9"/>
            <w:vAlign w:val="center"/>
          </w:tcPr>
          <w:p w:rsidR="0045755B" w:rsidRPr="00133AE0" w:rsidRDefault="0045755B" w:rsidP="00101A37">
            <w:pPr>
              <w:pStyle w:val="TableHeading"/>
              <w:keepNext/>
              <w:keepLines/>
              <w:rPr>
                <w:rStyle w:val="BodyTextbold"/>
                <w:b/>
              </w:rPr>
            </w:pPr>
            <w:r>
              <w:rPr>
                <w:rStyle w:val="BodyTextbold"/>
                <w:b/>
              </w:rPr>
              <w:t>Cash flow statement at time of tendering</w:t>
            </w:r>
          </w:p>
        </w:tc>
        <w:tc>
          <w:tcPr>
            <w:tcW w:w="2126" w:type="dxa"/>
            <w:shd w:val="clear" w:color="auto" w:fill="D9D9D9"/>
            <w:vAlign w:val="center"/>
          </w:tcPr>
          <w:p w:rsidR="0045755B" w:rsidRPr="00133AE0" w:rsidRDefault="0045755B" w:rsidP="00101A37">
            <w:pPr>
              <w:pStyle w:val="TableHeading"/>
              <w:keepNext/>
              <w:keepLines/>
              <w:rPr>
                <w:rStyle w:val="BodyTextbold"/>
                <w:b/>
              </w:rPr>
            </w:pPr>
            <w:r>
              <w:rPr>
                <w:rStyle w:val="BodyTextbold"/>
                <w:b/>
              </w:rPr>
              <w:t>Year to Date ($000)</w:t>
            </w:r>
          </w:p>
        </w:tc>
        <w:tc>
          <w:tcPr>
            <w:tcW w:w="2948" w:type="dxa"/>
            <w:shd w:val="clear" w:color="auto" w:fill="D9D9D9"/>
            <w:vAlign w:val="center"/>
          </w:tcPr>
          <w:p w:rsidR="0045755B" w:rsidRPr="00133AE0" w:rsidRDefault="0045755B" w:rsidP="00D33D30">
            <w:pPr>
              <w:pStyle w:val="TableHeading"/>
              <w:keepNext/>
              <w:keepLines/>
              <w:rPr>
                <w:rStyle w:val="BodyTextbold"/>
                <w:b/>
              </w:rPr>
            </w:pPr>
            <w:r>
              <w:rPr>
                <w:rStyle w:val="BodyTextbold"/>
                <w:b/>
              </w:rPr>
              <w:t>Estimate for lesser of Project duration or 12</w:t>
            </w:r>
            <w:r w:rsidR="00D33D30">
              <w:rPr>
                <w:rStyle w:val="BodyTextbold"/>
                <w:b/>
              </w:rPr>
              <w:t> </w:t>
            </w:r>
            <w:r>
              <w:rPr>
                <w:rStyle w:val="BodyTextbold"/>
                <w:b/>
              </w:rPr>
              <w:t>months ($000)</w:t>
            </w:r>
          </w:p>
        </w:tc>
      </w:tr>
      <w:tr w:rsidR="0045755B" w:rsidTr="00D33D30">
        <w:trPr>
          <w:trHeight w:val="299"/>
        </w:trPr>
        <w:tc>
          <w:tcPr>
            <w:tcW w:w="9072" w:type="dxa"/>
            <w:gridSpan w:val="3"/>
            <w:shd w:val="clear" w:color="auto" w:fill="auto"/>
          </w:tcPr>
          <w:p w:rsidR="0045755B" w:rsidRDefault="0045755B" w:rsidP="00D33D30">
            <w:pPr>
              <w:pStyle w:val="TableHeading"/>
              <w:spacing w:before="40" w:after="40"/>
              <w:jc w:val="left"/>
            </w:pPr>
            <w:r>
              <w:t>Receipts</w:t>
            </w:r>
          </w:p>
        </w:tc>
      </w:tr>
      <w:tr w:rsidR="0045755B" w:rsidTr="00D33D30">
        <w:trPr>
          <w:trHeight w:val="397"/>
        </w:trPr>
        <w:tc>
          <w:tcPr>
            <w:tcW w:w="3998" w:type="dxa"/>
            <w:shd w:val="clear" w:color="auto" w:fill="auto"/>
          </w:tcPr>
          <w:p w:rsidR="0045755B" w:rsidRDefault="0045755B" w:rsidP="00D33D30">
            <w:pPr>
              <w:pStyle w:val="TableBodyText"/>
              <w:keepNext/>
              <w:keepLines/>
              <w:spacing w:before="40" w:after="40"/>
            </w:pPr>
            <w:r>
              <w:t>Current Contracts</w:t>
            </w:r>
          </w:p>
          <w:p w:rsidR="0045755B" w:rsidRDefault="0045755B" w:rsidP="00D33D30">
            <w:pPr>
              <w:pStyle w:val="TableBodyText"/>
              <w:keepNext/>
              <w:keepLines/>
              <w:numPr>
                <w:ilvl w:val="0"/>
                <w:numId w:val="40"/>
              </w:numPr>
              <w:spacing w:before="40" w:after="40"/>
            </w:pPr>
            <w:r>
              <w:t>Progress Billings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397"/>
        </w:trPr>
        <w:tc>
          <w:tcPr>
            <w:tcW w:w="3998" w:type="dxa"/>
            <w:shd w:val="clear" w:color="auto" w:fill="auto"/>
          </w:tcPr>
          <w:p w:rsidR="0045755B" w:rsidRDefault="0045755B" w:rsidP="00D33D30">
            <w:pPr>
              <w:pStyle w:val="TableBodyText"/>
              <w:keepNext/>
              <w:keepLines/>
              <w:spacing w:before="40" w:after="40"/>
            </w:pPr>
            <w:r>
              <w:t>Completed Contracts</w:t>
            </w:r>
          </w:p>
          <w:p w:rsidR="0045755B" w:rsidRDefault="0045755B" w:rsidP="00D33D30">
            <w:pPr>
              <w:pStyle w:val="TableBodyText"/>
              <w:keepNext/>
              <w:keepLines/>
              <w:numPr>
                <w:ilvl w:val="0"/>
                <w:numId w:val="40"/>
              </w:numPr>
              <w:spacing w:before="40" w:after="40"/>
            </w:pPr>
            <w:r>
              <w:t>Claims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335"/>
        </w:trPr>
        <w:tc>
          <w:tcPr>
            <w:tcW w:w="3998" w:type="dxa"/>
            <w:shd w:val="clear" w:color="auto" w:fill="auto"/>
          </w:tcPr>
          <w:p w:rsidR="0045755B" w:rsidRDefault="0045755B" w:rsidP="00D33D30">
            <w:pPr>
              <w:pStyle w:val="TableBodyText"/>
              <w:keepNext/>
              <w:keepLines/>
              <w:spacing w:before="40" w:after="40"/>
            </w:pPr>
            <w:r>
              <w:t>Proceeds on sale of non-current assets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69"/>
        </w:trPr>
        <w:tc>
          <w:tcPr>
            <w:tcW w:w="3998" w:type="dxa"/>
            <w:shd w:val="clear" w:color="auto" w:fill="auto"/>
          </w:tcPr>
          <w:p w:rsidR="0045755B" w:rsidRDefault="0045755B" w:rsidP="00D33D30">
            <w:pPr>
              <w:pStyle w:val="TableBodyText"/>
              <w:keepNext/>
              <w:keepLines/>
              <w:spacing w:before="40" w:after="40"/>
            </w:pPr>
            <w:r>
              <w:t>Interest received</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bookmarkStart w:id="0" w:name="_GoBack"/>
        <w:bookmarkEnd w:id="0"/>
      </w:tr>
      <w:tr w:rsidR="0045755B" w:rsidTr="00D33D30">
        <w:trPr>
          <w:trHeight w:val="231"/>
        </w:trPr>
        <w:tc>
          <w:tcPr>
            <w:tcW w:w="3998" w:type="dxa"/>
            <w:shd w:val="clear" w:color="auto" w:fill="auto"/>
          </w:tcPr>
          <w:p w:rsidR="0045755B" w:rsidRDefault="0045755B" w:rsidP="00D33D30">
            <w:pPr>
              <w:pStyle w:val="TableBodyText"/>
              <w:keepNext/>
              <w:keepLines/>
              <w:spacing w:before="40" w:after="40"/>
            </w:pPr>
            <w:r>
              <w:t>Other (supply details)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39"/>
        </w:trPr>
        <w:tc>
          <w:tcPr>
            <w:tcW w:w="3998" w:type="dxa"/>
            <w:shd w:val="clear" w:color="auto" w:fill="auto"/>
          </w:tcPr>
          <w:p w:rsidR="0045755B" w:rsidRDefault="0045755B" w:rsidP="00D33D30">
            <w:pPr>
              <w:pStyle w:val="TableHeading"/>
              <w:spacing w:before="40" w:after="40"/>
              <w:jc w:val="left"/>
            </w:pPr>
            <w:r>
              <w:t>Total receipts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83"/>
        </w:trPr>
        <w:tc>
          <w:tcPr>
            <w:tcW w:w="9072" w:type="dxa"/>
            <w:gridSpan w:val="3"/>
            <w:shd w:val="clear" w:color="auto" w:fill="auto"/>
          </w:tcPr>
          <w:p w:rsidR="0045755B" w:rsidRDefault="0045755B" w:rsidP="00D33D30">
            <w:pPr>
              <w:pStyle w:val="TableBodyText"/>
              <w:keepNext/>
              <w:keepLines/>
              <w:spacing w:before="40" w:after="40"/>
            </w:pPr>
            <w:r>
              <w:t>Payments</w:t>
            </w:r>
          </w:p>
        </w:tc>
      </w:tr>
      <w:tr w:rsidR="0045755B" w:rsidTr="00D33D30">
        <w:trPr>
          <w:trHeight w:val="397"/>
        </w:trPr>
        <w:tc>
          <w:tcPr>
            <w:tcW w:w="3998" w:type="dxa"/>
            <w:shd w:val="clear" w:color="auto" w:fill="auto"/>
          </w:tcPr>
          <w:p w:rsidR="0045755B" w:rsidRDefault="0045755B" w:rsidP="00D33D30">
            <w:pPr>
              <w:pStyle w:val="TableBodyText"/>
              <w:keepNext/>
              <w:keepLines/>
              <w:spacing w:before="40" w:after="40"/>
            </w:pPr>
            <w:r>
              <w:t>Current Contracts</w:t>
            </w:r>
          </w:p>
          <w:p w:rsidR="0045755B" w:rsidRDefault="0045755B" w:rsidP="00D33D30">
            <w:pPr>
              <w:pStyle w:val="TableBodyText"/>
              <w:keepNext/>
              <w:keepLines/>
              <w:numPr>
                <w:ilvl w:val="0"/>
                <w:numId w:val="40"/>
              </w:numPr>
              <w:spacing w:before="40" w:after="40"/>
            </w:pPr>
            <w:r>
              <w:t>Costs to date</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26"/>
        </w:trPr>
        <w:tc>
          <w:tcPr>
            <w:tcW w:w="3998" w:type="dxa"/>
            <w:shd w:val="clear" w:color="auto" w:fill="auto"/>
          </w:tcPr>
          <w:p w:rsidR="0045755B" w:rsidRDefault="0045755B" w:rsidP="00D33D30">
            <w:pPr>
              <w:pStyle w:val="TableBodyText"/>
              <w:keepNext/>
              <w:keepLines/>
              <w:spacing w:before="40" w:after="40"/>
            </w:pPr>
            <w:r>
              <w:t>Completed Contracts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315"/>
        </w:trPr>
        <w:tc>
          <w:tcPr>
            <w:tcW w:w="3998" w:type="dxa"/>
            <w:shd w:val="clear" w:color="auto" w:fill="auto"/>
          </w:tcPr>
          <w:p w:rsidR="0045755B" w:rsidRDefault="0045755B" w:rsidP="00D33D30">
            <w:pPr>
              <w:pStyle w:val="TableBodyText"/>
              <w:keepNext/>
              <w:keepLines/>
              <w:spacing w:before="40" w:after="40"/>
            </w:pPr>
            <w:r>
              <w:t>Lease/hire purchase payments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35"/>
        </w:trPr>
        <w:tc>
          <w:tcPr>
            <w:tcW w:w="3998" w:type="dxa"/>
            <w:shd w:val="clear" w:color="auto" w:fill="auto"/>
          </w:tcPr>
          <w:p w:rsidR="0045755B" w:rsidRDefault="0045755B" w:rsidP="00D33D30">
            <w:pPr>
              <w:pStyle w:val="TableBodyText"/>
              <w:keepNext/>
              <w:keepLines/>
              <w:spacing w:before="40" w:after="40"/>
            </w:pPr>
            <w:r>
              <w:t>Interest paid</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39"/>
        </w:trPr>
        <w:tc>
          <w:tcPr>
            <w:tcW w:w="3998" w:type="dxa"/>
            <w:shd w:val="clear" w:color="auto" w:fill="auto"/>
          </w:tcPr>
          <w:p w:rsidR="0045755B" w:rsidRDefault="0045755B" w:rsidP="00D33D30">
            <w:pPr>
              <w:pStyle w:val="TableBodyText"/>
              <w:keepNext/>
              <w:keepLines/>
              <w:spacing w:before="40" w:after="40"/>
            </w:pPr>
            <w:r>
              <w:t>Loan repayments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01"/>
        </w:trPr>
        <w:tc>
          <w:tcPr>
            <w:tcW w:w="3998" w:type="dxa"/>
            <w:shd w:val="clear" w:color="auto" w:fill="auto"/>
          </w:tcPr>
          <w:p w:rsidR="0045755B" w:rsidRDefault="0045755B" w:rsidP="00D33D30">
            <w:pPr>
              <w:pStyle w:val="TableBodyText"/>
              <w:keepNext/>
              <w:keepLines/>
              <w:spacing w:before="40" w:after="40"/>
            </w:pPr>
            <w:r>
              <w:t>Administration overheads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77"/>
        </w:trPr>
        <w:tc>
          <w:tcPr>
            <w:tcW w:w="3998" w:type="dxa"/>
            <w:shd w:val="clear" w:color="auto" w:fill="auto"/>
          </w:tcPr>
          <w:p w:rsidR="0045755B" w:rsidRDefault="0045755B" w:rsidP="00D33D30">
            <w:pPr>
              <w:pStyle w:val="TableBodyText"/>
              <w:keepNext/>
              <w:keepLines/>
              <w:spacing w:before="40" w:after="40"/>
            </w:pPr>
            <w:r>
              <w:t>Capital expenditure (supply details)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25"/>
        </w:trPr>
        <w:tc>
          <w:tcPr>
            <w:tcW w:w="3998" w:type="dxa"/>
            <w:shd w:val="clear" w:color="auto" w:fill="auto"/>
          </w:tcPr>
          <w:p w:rsidR="0045755B" w:rsidRDefault="0045755B" w:rsidP="00D33D30">
            <w:pPr>
              <w:pStyle w:val="TableBodyText"/>
              <w:keepNext/>
              <w:keepLines/>
              <w:spacing w:before="40" w:after="40"/>
            </w:pPr>
            <w:r>
              <w:t>Taxation</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02"/>
        </w:trPr>
        <w:tc>
          <w:tcPr>
            <w:tcW w:w="3998" w:type="dxa"/>
            <w:shd w:val="clear" w:color="auto" w:fill="auto"/>
          </w:tcPr>
          <w:p w:rsidR="0045755B" w:rsidRDefault="0045755B" w:rsidP="00D33D30">
            <w:pPr>
              <w:pStyle w:val="TableBodyText"/>
              <w:keepNext/>
              <w:keepLines/>
              <w:spacing w:before="40" w:after="40"/>
            </w:pPr>
            <w:r>
              <w:t>Dividends, Drawings or Distributions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397"/>
        </w:trPr>
        <w:tc>
          <w:tcPr>
            <w:tcW w:w="3998" w:type="dxa"/>
            <w:shd w:val="clear" w:color="auto" w:fill="auto"/>
          </w:tcPr>
          <w:p w:rsidR="0045755B" w:rsidRDefault="0045755B" w:rsidP="00D33D30">
            <w:pPr>
              <w:pStyle w:val="TableBodyText"/>
              <w:keepNext/>
              <w:keepLines/>
              <w:spacing w:before="40" w:after="40"/>
            </w:pPr>
            <w:r>
              <w:t>Other (</w:t>
            </w:r>
            <w:r w:rsidR="00DB6247">
              <w:t>s</w:t>
            </w:r>
            <w:r>
              <w:t xml:space="preserve">upply </w:t>
            </w:r>
            <w:r w:rsidR="00DB6247">
              <w:t>d</w:t>
            </w:r>
            <w:r>
              <w:t>etails)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97"/>
        </w:trPr>
        <w:tc>
          <w:tcPr>
            <w:tcW w:w="3998" w:type="dxa"/>
            <w:shd w:val="clear" w:color="auto" w:fill="auto"/>
          </w:tcPr>
          <w:p w:rsidR="0045755B" w:rsidRDefault="0045755B" w:rsidP="00D33D30">
            <w:pPr>
              <w:pStyle w:val="TableHeading"/>
              <w:spacing w:before="40" w:after="40"/>
              <w:jc w:val="left"/>
            </w:pPr>
            <w:r>
              <w:t>Total payments</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187"/>
        </w:trPr>
        <w:tc>
          <w:tcPr>
            <w:tcW w:w="3998" w:type="dxa"/>
            <w:shd w:val="clear" w:color="auto" w:fill="auto"/>
          </w:tcPr>
          <w:p w:rsidR="0045755B" w:rsidRDefault="0045755B" w:rsidP="00D33D30">
            <w:pPr>
              <w:pStyle w:val="TableBodyText"/>
              <w:keepNext/>
              <w:keepLines/>
              <w:spacing w:before="40" w:after="40"/>
            </w:pPr>
            <w:r>
              <w:t>Net cash low for period</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277"/>
        </w:trPr>
        <w:tc>
          <w:tcPr>
            <w:tcW w:w="3998" w:type="dxa"/>
            <w:shd w:val="clear" w:color="auto" w:fill="auto"/>
          </w:tcPr>
          <w:p w:rsidR="0045755B" w:rsidRDefault="0045755B" w:rsidP="00D33D30">
            <w:pPr>
              <w:pStyle w:val="TableBodyText"/>
              <w:keepNext/>
              <w:keepLines/>
              <w:spacing w:before="40" w:after="40"/>
            </w:pPr>
            <w:r>
              <w:t>Opening cash/bank overdraft</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r w:rsidR="0045755B" w:rsidTr="00D33D30">
        <w:trPr>
          <w:trHeight w:val="98"/>
        </w:trPr>
        <w:tc>
          <w:tcPr>
            <w:tcW w:w="3998" w:type="dxa"/>
            <w:shd w:val="clear" w:color="auto" w:fill="auto"/>
          </w:tcPr>
          <w:p w:rsidR="0045755B" w:rsidRDefault="0045755B" w:rsidP="00D33D30">
            <w:pPr>
              <w:pStyle w:val="TableBodyText"/>
              <w:keepNext/>
              <w:keepLines/>
              <w:spacing w:before="40" w:after="40"/>
            </w:pPr>
            <w:r>
              <w:t>Closing cash/bank overdraft</w:t>
            </w:r>
          </w:p>
        </w:tc>
        <w:tc>
          <w:tcPr>
            <w:tcW w:w="2126" w:type="dxa"/>
            <w:shd w:val="clear" w:color="auto" w:fill="auto"/>
          </w:tcPr>
          <w:p w:rsidR="0045755B" w:rsidRDefault="0045755B" w:rsidP="00D33D30">
            <w:pPr>
              <w:pStyle w:val="TableBodyText"/>
              <w:keepNext/>
              <w:keepLines/>
              <w:spacing w:before="40" w:after="40"/>
            </w:pPr>
          </w:p>
        </w:tc>
        <w:tc>
          <w:tcPr>
            <w:tcW w:w="2948" w:type="dxa"/>
            <w:shd w:val="clear" w:color="auto" w:fill="auto"/>
          </w:tcPr>
          <w:p w:rsidR="0045755B" w:rsidRDefault="0045755B" w:rsidP="00D33D30">
            <w:pPr>
              <w:pStyle w:val="TableBodyText"/>
              <w:keepNext/>
              <w:keepLines/>
              <w:spacing w:before="40" w:after="40"/>
              <w:jc w:val="center"/>
            </w:pPr>
          </w:p>
        </w:tc>
      </w:tr>
    </w:tbl>
    <w:p w:rsidR="0045755B" w:rsidRDefault="0045755B" w:rsidP="00B8333F">
      <w:pPr>
        <w:pStyle w:val="BodyText"/>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3002"/>
      </w:tblGrid>
      <w:tr w:rsidR="002E074D" w:rsidTr="007D7B99">
        <w:tc>
          <w:tcPr>
            <w:tcW w:w="9055" w:type="dxa"/>
            <w:gridSpan w:val="3"/>
            <w:shd w:val="clear" w:color="auto" w:fill="auto"/>
            <w:vAlign w:val="center"/>
          </w:tcPr>
          <w:p w:rsidR="002E074D" w:rsidRDefault="002E074D" w:rsidP="00D33D30">
            <w:pPr>
              <w:pStyle w:val="TableHeading"/>
              <w:keepNext/>
              <w:keepLines/>
              <w:spacing w:before="40" w:after="40" w:line="240" w:lineRule="auto"/>
              <w:jc w:val="left"/>
            </w:pPr>
            <w:r>
              <w:t>Authorisation</w:t>
            </w:r>
          </w:p>
        </w:tc>
      </w:tr>
      <w:tr w:rsidR="002E074D" w:rsidTr="007D7B99">
        <w:tc>
          <w:tcPr>
            <w:tcW w:w="9055" w:type="dxa"/>
            <w:gridSpan w:val="3"/>
            <w:shd w:val="clear" w:color="auto" w:fill="auto"/>
            <w:vAlign w:val="center"/>
          </w:tcPr>
          <w:p w:rsidR="002E074D" w:rsidRDefault="002E074D" w:rsidP="00D33D30">
            <w:pPr>
              <w:pStyle w:val="TableHeading"/>
              <w:keepNext/>
              <w:keepLines/>
              <w:spacing w:before="40" w:after="40" w:line="240" w:lineRule="auto"/>
              <w:jc w:val="left"/>
            </w:pPr>
            <w:r>
              <w:t xml:space="preserve">For and on behalf of </w:t>
            </w:r>
            <w:r w:rsidR="0045755B">
              <w:t>Tenderer</w:t>
            </w:r>
          </w:p>
        </w:tc>
      </w:tr>
      <w:tr w:rsidR="002E074D" w:rsidTr="007D7B99">
        <w:tc>
          <w:tcPr>
            <w:tcW w:w="2958" w:type="dxa"/>
            <w:shd w:val="clear" w:color="auto" w:fill="auto"/>
            <w:vAlign w:val="center"/>
          </w:tcPr>
          <w:p w:rsidR="002E074D" w:rsidRDefault="002E074D" w:rsidP="00D33D30">
            <w:pPr>
              <w:pStyle w:val="TableBodyTextsmall"/>
              <w:spacing w:before="40" w:after="40"/>
            </w:pPr>
            <w:r>
              <w:t>Name/Position</w:t>
            </w:r>
          </w:p>
        </w:tc>
        <w:tc>
          <w:tcPr>
            <w:tcW w:w="3095" w:type="dxa"/>
            <w:shd w:val="clear" w:color="auto" w:fill="auto"/>
            <w:vAlign w:val="center"/>
          </w:tcPr>
          <w:p w:rsidR="002E074D" w:rsidRDefault="002E074D" w:rsidP="00D33D30">
            <w:pPr>
              <w:pStyle w:val="TableBodyTextsmall"/>
              <w:spacing w:before="40" w:after="40"/>
            </w:pPr>
            <w:r>
              <w:t>Signature</w:t>
            </w:r>
          </w:p>
        </w:tc>
        <w:tc>
          <w:tcPr>
            <w:tcW w:w="3002" w:type="dxa"/>
            <w:shd w:val="clear" w:color="auto" w:fill="auto"/>
            <w:vAlign w:val="center"/>
          </w:tcPr>
          <w:p w:rsidR="002E074D" w:rsidRDefault="002E074D" w:rsidP="00D33D30">
            <w:pPr>
              <w:pStyle w:val="TableBodyTextsmall"/>
              <w:spacing w:before="40" w:after="40"/>
            </w:pPr>
            <w:r>
              <w:t>Date</w:t>
            </w:r>
          </w:p>
        </w:tc>
      </w:tr>
      <w:tr w:rsidR="002E074D" w:rsidTr="007D7B99">
        <w:tc>
          <w:tcPr>
            <w:tcW w:w="2958" w:type="dxa"/>
            <w:shd w:val="clear" w:color="auto" w:fill="auto"/>
            <w:vAlign w:val="center"/>
          </w:tcPr>
          <w:p w:rsidR="002E074D" w:rsidRDefault="002E074D" w:rsidP="00D33D30">
            <w:pPr>
              <w:pStyle w:val="BodyText"/>
              <w:keepNext/>
              <w:keepLines/>
              <w:spacing w:before="40" w:after="40" w:line="240" w:lineRule="auto"/>
            </w:pPr>
          </w:p>
        </w:tc>
        <w:tc>
          <w:tcPr>
            <w:tcW w:w="3095" w:type="dxa"/>
            <w:shd w:val="clear" w:color="auto" w:fill="auto"/>
            <w:vAlign w:val="center"/>
          </w:tcPr>
          <w:p w:rsidR="002E074D" w:rsidRDefault="002E074D" w:rsidP="00D33D30">
            <w:pPr>
              <w:pStyle w:val="BodyText"/>
              <w:keepNext/>
              <w:keepLines/>
              <w:spacing w:before="40" w:after="40" w:line="240" w:lineRule="auto"/>
            </w:pPr>
          </w:p>
        </w:tc>
        <w:tc>
          <w:tcPr>
            <w:tcW w:w="3002" w:type="dxa"/>
            <w:shd w:val="clear" w:color="auto" w:fill="auto"/>
            <w:vAlign w:val="center"/>
          </w:tcPr>
          <w:p w:rsidR="002E074D" w:rsidRDefault="002E074D" w:rsidP="00D33D30">
            <w:pPr>
              <w:pStyle w:val="BodyText"/>
              <w:keepNext/>
              <w:keepLines/>
              <w:spacing w:before="40" w:after="40" w:line="240" w:lineRule="auto"/>
            </w:pPr>
          </w:p>
        </w:tc>
      </w:tr>
      <w:tr w:rsidR="00C34247" w:rsidTr="007D7B99">
        <w:tc>
          <w:tcPr>
            <w:tcW w:w="9055" w:type="dxa"/>
            <w:gridSpan w:val="3"/>
            <w:shd w:val="clear" w:color="auto" w:fill="auto"/>
            <w:vAlign w:val="center"/>
          </w:tcPr>
          <w:p w:rsidR="00C34247" w:rsidRDefault="00C34247" w:rsidP="00D33D30">
            <w:pPr>
              <w:pStyle w:val="TableBodyTextsmall"/>
              <w:spacing w:before="40" w:after="40"/>
            </w:pPr>
            <w:r>
              <w:t xml:space="preserve">Name of </w:t>
            </w:r>
            <w:r w:rsidR="0045755B">
              <w:t>Tenderer</w:t>
            </w:r>
          </w:p>
        </w:tc>
      </w:tr>
      <w:tr w:rsidR="0045755B" w:rsidTr="007D7B99">
        <w:tc>
          <w:tcPr>
            <w:tcW w:w="9055" w:type="dxa"/>
            <w:gridSpan w:val="3"/>
            <w:shd w:val="clear" w:color="auto" w:fill="auto"/>
            <w:vAlign w:val="center"/>
          </w:tcPr>
          <w:p w:rsidR="0045755B" w:rsidRDefault="0045755B" w:rsidP="00D33D30">
            <w:pPr>
              <w:pStyle w:val="BodyText"/>
              <w:keepNext/>
              <w:keepLines/>
              <w:spacing w:before="40" w:after="40" w:line="240" w:lineRule="auto"/>
            </w:pPr>
          </w:p>
        </w:tc>
      </w:tr>
      <w:tr w:rsidR="00C34247" w:rsidTr="007D7B99">
        <w:tc>
          <w:tcPr>
            <w:tcW w:w="9055" w:type="dxa"/>
            <w:gridSpan w:val="3"/>
            <w:shd w:val="clear" w:color="auto" w:fill="auto"/>
            <w:vAlign w:val="center"/>
          </w:tcPr>
          <w:p w:rsidR="00C34247" w:rsidRDefault="0045755B" w:rsidP="00D33D30">
            <w:pPr>
              <w:pStyle w:val="TableBodyTextsmall"/>
              <w:spacing w:before="40" w:after="40"/>
            </w:pPr>
            <w:r w:rsidRPr="0045755B">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133AE0" w:rsidRDefault="00133AE0" w:rsidP="00DB6247">
      <w:pPr>
        <w:pStyle w:val="BodyText"/>
      </w:pPr>
    </w:p>
    <w:sectPr w:rsidR="00133AE0" w:rsidSect="007D7B99">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0548FF">
    <w:pPr>
      <w:pStyle w:val="Footer"/>
      <w:tabs>
        <w:tab w:val="clear" w:pos="9540"/>
        <w:tab w:val="right" w:pos="9639"/>
      </w:tabs>
      <w:ind w:right="-502"/>
    </w:pPr>
    <w:r>
      <w:t xml:space="preserve">Transport Infrastructure Contract, </w:t>
    </w:r>
    <w:r w:rsidR="00C5054B" w:rsidRPr="00391457">
      <w:t>Trans</w:t>
    </w:r>
    <w:r w:rsidR="00C5054B">
      <w:t xml:space="preserve">port and Main Roads, </w:t>
    </w:r>
    <w:r>
      <w:t>April</w:t>
    </w:r>
    <w:r w:rsidR="00C5054B">
      <w:t xml:space="preserve"> 201</w:t>
    </w:r>
    <w:r>
      <w:t>5</w:t>
    </w:r>
    <w:r w:rsidR="0045755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0548FF">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0548FF">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183EC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5755B">
      <w:rPr>
        <w:b/>
        <w:sz w:val="32"/>
        <w:szCs w:val="32"/>
      </w:rPr>
      <w:t>Tender Schedule P3</w:t>
    </w:r>
  </w:p>
  <w:p w:rsidR="00C5054B" w:rsidRPr="00D33D30" w:rsidRDefault="0045755B" w:rsidP="00C5054B">
    <w:pPr>
      <w:pStyle w:val="HeaderChapterpart"/>
      <w:rPr>
        <w:sz w:val="4"/>
        <w:szCs w:val="4"/>
      </w:rPr>
    </w:pPr>
    <w:r>
      <w:rPr>
        <w:sz w:val="32"/>
        <w:szCs w:val="32"/>
      </w:rPr>
      <w:t>Current Cash Flow</w:t>
    </w:r>
    <w:r w:rsidR="00D33D30">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45755B" w:rsidP="0045755B">
          <w:pPr>
            <w:pStyle w:val="HeaderChapterpart"/>
            <w:keepNext/>
            <w:keepLines/>
            <w:pBdr>
              <w:bottom w:val="none" w:sz="0" w:space="0" w:color="auto"/>
            </w:pBdr>
            <w:ind w:right="0"/>
            <w:rPr>
              <w:b/>
              <w:sz w:val="22"/>
              <w:szCs w:val="22"/>
            </w:rPr>
          </w:pPr>
          <w:r>
            <w:rPr>
              <w:b/>
              <w:sz w:val="22"/>
              <w:szCs w:val="22"/>
            </w:rPr>
            <w:t>C7810.P3</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1D7B10"/>
    <w:multiLevelType w:val="multilevel"/>
    <w:tmpl w:val="DC821EBC"/>
    <w:numStyleLink w:val="TableListAllBullets3Level"/>
  </w:abstractNum>
  <w:abstractNum w:abstractNumId="14">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66951D4"/>
    <w:multiLevelType w:val="multilevel"/>
    <w:tmpl w:val="DC821EBC"/>
    <w:numStyleLink w:val="TableListAllBullets3Level"/>
  </w:abstractNum>
  <w:abstractNum w:abstractNumId="16">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717D11"/>
    <w:multiLevelType w:val="multilevel"/>
    <w:tmpl w:val="DC821EBC"/>
    <w:numStyleLink w:val="TableListAllBullets3Level"/>
  </w:abstractNum>
  <w:abstractNum w:abstractNumId="18">
    <w:nsid w:val="38B0774F"/>
    <w:multiLevelType w:val="multilevel"/>
    <w:tmpl w:val="620CC31C"/>
    <w:numStyleLink w:val="ListAllBullets3Level"/>
  </w:abstractNum>
  <w:abstractNum w:abstractNumId="19">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nsid w:val="3D4716F6"/>
    <w:multiLevelType w:val="multilevel"/>
    <w:tmpl w:val="B2B20138"/>
    <w:numStyleLink w:val="TableListAllLetter3level"/>
  </w:abstractNum>
  <w:abstractNum w:abstractNumId="21">
    <w:nsid w:val="3D6F0D8D"/>
    <w:multiLevelType w:val="multilevel"/>
    <w:tmpl w:val="B2B20138"/>
    <w:numStyleLink w:val="TableListAllLetter3level"/>
  </w:abstractNum>
  <w:abstractNum w:abstractNumId="22">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2BD1B8B"/>
    <w:multiLevelType w:val="multilevel"/>
    <w:tmpl w:val="236A166A"/>
    <w:numStyleLink w:val="TableListAllNum3Leve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921570F"/>
    <w:multiLevelType w:val="multilevel"/>
    <w:tmpl w:val="DC821EBC"/>
    <w:numStyleLink w:val="TableListAllBullets3Level"/>
  </w:abstractNum>
  <w:abstractNum w:abstractNumId="32">
    <w:nsid w:val="71D37352"/>
    <w:multiLevelType w:val="multilevel"/>
    <w:tmpl w:val="B2B20138"/>
    <w:numStyleLink w:val="TableListAllLetter3level"/>
  </w:abstractNum>
  <w:abstractNum w:abstractNumId="33">
    <w:nsid w:val="733219AB"/>
    <w:multiLevelType w:val="multilevel"/>
    <w:tmpl w:val="168C5AE8"/>
    <w:numStyleLink w:val="ListAllLetter3Level"/>
  </w:abstractNum>
  <w:abstractNum w:abstractNumId="34">
    <w:nsid w:val="75F87C64"/>
    <w:multiLevelType w:val="multilevel"/>
    <w:tmpl w:val="5DAC17FA"/>
    <w:numStyleLink w:val="TableListSmallNumber"/>
  </w:abstractNum>
  <w:abstractNum w:abstractNumId="35">
    <w:nsid w:val="7A5F4FED"/>
    <w:multiLevelType w:val="multilevel"/>
    <w:tmpl w:val="168C5AE8"/>
    <w:numStyleLink w:val="ListAllLetter3Level"/>
  </w:abstractNum>
  <w:abstractNum w:abstractNumId="36">
    <w:nsid w:val="7CB15E02"/>
    <w:multiLevelType w:val="multilevel"/>
    <w:tmpl w:val="DC821EBC"/>
    <w:numStyleLink w:val="TableListAllBullets3Level"/>
  </w:abstractNum>
  <w:abstractNum w:abstractNumId="37">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4"/>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548FF"/>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83E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B0884"/>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5755B"/>
    <w:rsid w:val="00477792"/>
    <w:rsid w:val="004D7425"/>
    <w:rsid w:val="004E2172"/>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D7B99"/>
    <w:rsid w:val="007E6BE4"/>
    <w:rsid w:val="00811807"/>
    <w:rsid w:val="008708BC"/>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33D30"/>
    <w:rsid w:val="00D3513F"/>
    <w:rsid w:val="00D435F2"/>
    <w:rsid w:val="00D56593"/>
    <w:rsid w:val="00D67F00"/>
    <w:rsid w:val="00D8447C"/>
    <w:rsid w:val="00D86598"/>
    <w:rsid w:val="00DA20DD"/>
    <w:rsid w:val="00DB6247"/>
    <w:rsid w:val="00DC076F"/>
    <w:rsid w:val="00DC376C"/>
    <w:rsid w:val="00DE56ED"/>
    <w:rsid w:val="00DF1C54"/>
    <w:rsid w:val="00DF27E0"/>
    <w:rsid w:val="00DF40B1"/>
    <w:rsid w:val="00E57C45"/>
    <w:rsid w:val="00E601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ec972935-d489-4a83-af2a-c34816ed2832"/>
    <ds:schemaRef ds:uri="http://purl.org/dc/term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08E11C-F52A-4091-91F5-ED14A080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20</TotalTime>
  <Pages>1</Pages>
  <Words>193</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C7810.P3 Tender Schedule P3 Current Cash Flow</vt:lpstr>
    </vt:vector>
  </TitlesOfParts>
  <Company>Department of Transport and Main Roads</Company>
  <LinksUpToDate>false</LinksUpToDate>
  <CharactersWithSpaces>1404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C7810.P3 Tender Schedule P3 Current Cash Flow</dc:title>
  <dc:subject>Transport Infrastructure Contract - Construct Only</dc:subject>
  <dc:creator>Department of Transport and Main Roads</dc:creator>
  <cp:keywords>contract, construct only, TIC CO</cp:keywords>
  <dc:description/>
  <cp:lastModifiedBy>Maddy Z Gourley</cp:lastModifiedBy>
  <cp:revision>12</cp:revision>
  <cp:lastPrinted>2013-06-20T03:17:00Z</cp:lastPrinted>
  <dcterms:created xsi:type="dcterms:W3CDTF">2015-03-17T03:13:00Z</dcterms:created>
  <dcterms:modified xsi:type="dcterms:W3CDTF">2015-04-21T00:41:00Z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