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19F8C" w14:textId="77777777" w:rsidR="00760164" w:rsidRDefault="00760164" w:rsidP="00230983">
      <w:pPr>
        <w:pStyle w:val="BodyText"/>
        <w:spacing w:after="40"/>
      </w:pPr>
    </w:p>
    <w:tbl>
      <w:tblPr>
        <w:tblW w:w="9101"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80"/>
        <w:gridCol w:w="2268"/>
        <w:gridCol w:w="5953"/>
      </w:tblGrid>
      <w:tr w:rsidR="003734E0" w14:paraId="6A2CCBD9" w14:textId="77777777" w:rsidTr="008F0EBB">
        <w:trPr>
          <w:tblHeader/>
        </w:trPr>
        <w:tc>
          <w:tcPr>
            <w:tcW w:w="880" w:type="dxa"/>
            <w:shd w:val="clear" w:color="auto" w:fill="D9D9D9"/>
          </w:tcPr>
          <w:p w14:paraId="1BD29262" w14:textId="77777777" w:rsidR="003734E0" w:rsidRPr="008F0EBB" w:rsidRDefault="000D71CF" w:rsidP="008F0EBB">
            <w:pPr>
              <w:pStyle w:val="TableHeading"/>
              <w:jc w:val="left"/>
              <w:rPr>
                <w:rStyle w:val="BodyTextbold"/>
                <w:b/>
              </w:rPr>
            </w:pPr>
            <w:r w:rsidRPr="008F0EBB">
              <w:rPr>
                <w:rStyle w:val="BodyTextbold"/>
                <w:b/>
              </w:rPr>
              <w:t>Clause</w:t>
            </w:r>
          </w:p>
        </w:tc>
        <w:tc>
          <w:tcPr>
            <w:tcW w:w="2268" w:type="dxa"/>
            <w:shd w:val="clear" w:color="auto" w:fill="D9D9D9"/>
          </w:tcPr>
          <w:p w14:paraId="784668E1" w14:textId="77777777" w:rsidR="003734E0" w:rsidRPr="008F0EBB" w:rsidRDefault="000D71CF" w:rsidP="008F0EBB">
            <w:pPr>
              <w:pStyle w:val="TableHeading"/>
              <w:jc w:val="left"/>
              <w:rPr>
                <w:rStyle w:val="BodyTextbold"/>
                <w:b/>
              </w:rPr>
            </w:pPr>
            <w:r w:rsidRPr="008F0EBB">
              <w:rPr>
                <w:rStyle w:val="BodyTextbold"/>
                <w:b/>
              </w:rPr>
              <w:t xml:space="preserve">Clause </w:t>
            </w:r>
            <w:r w:rsidR="00230983" w:rsidRPr="008F0EBB">
              <w:rPr>
                <w:rStyle w:val="BodyTextbold"/>
                <w:b/>
              </w:rPr>
              <w:t>h</w:t>
            </w:r>
            <w:r w:rsidRPr="008F0EBB">
              <w:rPr>
                <w:rStyle w:val="BodyTextbold"/>
                <w:b/>
              </w:rPr>
              <w:t>eadings</w:t>
            </w:r>
          </w:p>
        </w:tc>
        <w:tc>
          <w:tcPr>
            <w:tcW w:w="5953" w:type="dxa"/>
            <w:shd w:val="clear" w:color="auto" w:fill="D9D9D9"/>
          </w:tcPr>
          <w:p w14:paraId="4032712E" w14:textId="77777777" w:rsidR="003734E0" w:rsidRPr="008F0EBB" w:rsidRDefault="000D71CF" w:rsidP="008F0EBB">
            <w:pPr>
              <w:pStyle w:val="TableHeading"/>
              <w:jc w:val="left"/>
              <w:rPr>
                <w:rStyle w:val="BodyTextbold"/>
                <w:b/>
              </w:rPr>
            </w:pPr>
            <w:r w:rsidRPr="008F0EBB">
              <w:rPr>
                <w:rStyle w:val="BodyTextbold"/>
                <w:b/>
              </w:rPr>
              <w:t xml:space="preserve">Description of </w:t>
            </w:r>
            <w:r w:rsidR="00230983" w:rsidRPr="008F0EBB">
              <w:rPr>
                <w:rStyle w:val="BodyTextbold"/>
                <w:b/>
              </w:rPr>
              <w:t>c</w:t>
            </w:r>
            <w:r w:rsidRPr="008F0EBB">
              <w:rPr>
                <w:rStyle w:val="BodyTextbold"/>
                <w:b/>
              </w:rPr>
              <w:t xml:space="preserve">ertification </w:t>
            </w:r>
            <w:r w:rsidR="00230983" w:rsidRPr="008F0EBB">
              <w:rPr>
                <w:rStyle w:val="BodyTextbold"/>
                <w:b/>
              </w:rPr>
              <w:t>f</w:t>
            </w:r>
            <w:r w:rsidRPr="008F0EBB">
              <w:rPr>
                <w:rStyle w:val="BodyTextbold"/>
                <w:b/>
              </w:rPr>
              <w:t>unctions</w:t>
            </w:r>
          </w:p>
        </w:tc>
      </w:tr>
      <w:tr w:rsidR="000D71CF" w14:paraId="56BEFE2A" w14:textId="77777777" w:rsidTr="008F0EBB">
        <w:trPr>
          <w:trHeight w:val="397"/>
        </w:trPr>
        <w:tc>
          <w:tcPr>
            <w:tcW w:w="880" w:type="dxa"/>
            <w:shd w:val="clear" w:color="auto" w:fill="F2F2F2" w:themeFill="background1" w:themeFillShade="F2"/>
          </w:tcPr>
          <w:p w14:paraId="53953160" w14:textId="77777777" w:rsidR="000D71CF" w:rsidRPr="001A2786" w:rsidRDefault="000D71CF" w:rsidP="008F0EBB">
            <w:pPr>
              <w:pStyle w:val="TableBodyText"/>
            </w:pPr>
            <w:r w:rsidRPr="001A2786">
              <w:t>21.5</w:t>
            </w:r>
          </w:p>
        </w:tc>
        <w:tc>
          <w:tcPr>
            <w:tcW w:w="2268" w:type="dxa"/>
            <w:shd w:val="clear" w:color="auto" w:fill="F2F2F2" w:themeFill="background1" w:themeFillShade="F2"/>
          </w:tcPr>
          <w:p w14:paraId="1D941F25" w14:textId="77777777" w:rsidR="000D71CF" w:rsidRDefault="000D71CF" w:rsidP="008F0EBB">
            <w:pPr>
              <w:pStyle w:val="TableBodyText"/>
            </w:pPr>
            <w:r w:rsidRPr="001A2786">
              <w:t>Settlement of Claims</w:t>
            </w:r>
          </w:p>
        </w:tc>
        <w:tc>
          <w:tcPr>
            <w:tcW w:w="5953" w:type="dxa"/>
            <w:shd w:val="clear" w:color="auto" w:fill="auto"/>
          </w:tcPr>
          <w:p w14:paraId="5F6F9549" w14:textId="0555C878" w:rsidR="000D71CF" w:rsidRPr="001A2786" w:rsidRDefault="000D71CF" w:rsidP="008F0EBB">
            <w:pPr>
              <w:pStyle w:val="TableBodyText"/>
            </w:pPr>
            <w:r w:rsidRPr="001A2786">
              <w:t xml:space="preserve">Certify against the joint account for the cost of reinstatement following an insurance claim. </w:t>
            </w:r>
          </w:p>
        </w:tc>
      </w:tr>
      <w:tr w:rsidR="000D71CF" w14:paraId="31BF02B2" w14:textId="77777777" w:rsidTr="008F0EBB">
        <w:trPr>
          <w:trHeight w:val="397"/>
        </w:trPr>
        <w:tc>
          <w:tcPr>
            <w:tcW w:w="880" w:type="dxa"/>
            <w:shd w:val="clear" w:color="auto" w:fill="F2F2F2" w:themeFill="background1" w:themeFillShade="F2"/>
          </w:tcPr>
          <w:p w14:paraId="782979A1" w14:textId="77777777" w:rsidR="000D71CF" w:rsidRPr="001A2786" w:rsidRDefault="000D71CF" w:rsidP="008F0EBB">
            <w:pPr>
              <w:pStyle w:val="TableBodyText"/>
            </w:pPr>
            <w:r w:rsidRPr="001A2786">
              <w:t>33.5</w:t>
            </w:r>
          </w:p>
        </w:tc>
        <w:tc>
          <w:tcPr>
            <w:tcW w:w="2268" w:type="dxa"/>
            <w:shd w:val="clear" w:color="auto" w:fill="F2F2F2" w:themeFill="background1" w:themeFillShade="F2"/>
          </w:tcPr>
          <w:p w14:paraId="6A2C16AA" w14:textId="77777777" w:rsidR="000D71CF" w:rsidRPr="001A2786" w:rsidRDefault="000D71CF" w:rsidP="008F0EBB">
            <w:pPr>
              <w:pStyle w:val="TableBodyText"/>
            </w:pPr>
            <w:r w:rsidRPr="001A2786">
              <w:t>Acceleration</w:t>
            </w:r>
          </w:p>
        </w:tc>
        <w:tc>
          <w:tcPr>
            <w:tcW w:w="5953" w:type="dxa"/>
            <w:shd w:val="clear" w:color="auto" w:fill="auto"/>
          </w:tcPr>
          <w:p w14:paraId="7C17A26C" w14:textId="46F850B3" w:rsidR="000D71CF" w:rsidRPr="001A2786" w:rsidRDefault="000D71CF" w:rsidP="008F0EBB">
            <w:pPr>
              <w:pStyle w:val="TableBodyText"/>
            </w:pPr>
            <w:r w:rsidRPr="001A2786">
              <w:t>Clause</w:t>
            </w:r>
            <w:r w:rsidR="008F0EBB">
              <w:t> </w:t>
            </w:r>
            <w:r w:rsidRPr="001A2786">
              <w:t>33.5(a): determining whether to issue a direction for the Contractor to accelerate the performance of the work instead of granting an extension of time.</w:t>
            </w:r>
          </w:p>
        </w:tc>
      </w:tr>
      <w:tr w:rsidR="000D71CF" w14:paraId="22F3437C" w14:textId="77777777" w:rsidTr="008F0EBB">
        <w:trPr>
          <w:trHeight w:val="397"/>
        </w:trPr>
        <w:tc>
          <w:tcPr>
            <w:tcW w:w="880" w:type="dxa"/>
            <w:shd w:val="clear" w:color="auto" w:fill="F2F2F2" w:themeFill="background1" w:themeFillShade="F2"/>
          </w:tcPr>
          <w:p w14:paraId="07D72B14" w14:textId="77777777" w:rsidR="000D71CF" w:rsidRPr="001A2786" w:rsidRDefault="000D71CF" w:rsidP="008F0EBB">
            <w:pPr>
              <w:pStyle w:val="TableBodyText"/>
            </w:pPr>
            <w:r w:rsidRPr="001A2786">
              <w:t>35.3</w:t>
            </w:r>
          </w:p>
        </w:tc>
        <w:tc>
          <w:tcPr>
            <w:tcW w:w="2268" w:type="dxa"/>
            <w:shd w:val="clear" w:color="auto" w:fill="F2F2F2" w:themeFill="background1" w:themeFillShade="F2"/>
          </w:tcPr>
          <w:p w14:paraId="649C4B85" w14:textId="77777777" w:rsidR="000D71CF" w:rsidRPr="001A2786" w:rsidRDefault="000D71CF" w:rsidP="008F0EBB">
            <w:pPr>
              <w:pStyle w:val="TableBodyText"/>
            </w:pPr>
            <w:r w:rsidRPr="001A2786">
              <w:t>Separable Portions</w:t>
            </w:r>
          </w:p>
        </w:tc>
        <w:tc>
          <w:tcPr>
            <w:tcW w:w="5953" w:type="dxa"/>
            <w:shd w:val="clear" w:color="auto" w:fill="auto"/>
          </w:tcPr>
          <w:p w14:paraId="2ED7AC21" w14:textId="3F3CCA34" w:rsidR="000D71CF" w:rsidRPr="001A2786" w:rsidRDefault="000D71CF" w:rsidP="008F0EBB">
            <w:pPr>
              <w:pStyle w:val="TableBodyText"/>
            </w:pPr>
            <w:r w:rsidRPr="001A2786">
              <w:t>If the Contract does not make provision for the amount of security applicable to a Separable Portion, the Administrator shall certify the value of the work under the Contract as the value of the Separable Portion bears to the value of the whole of the work under the Contract.</w:t>
            </w:r>
          </w:p>
        </w:tc>
      </w:tr>
      <w:tr w:rsidR="000D71CF" w14:paraId="4EE77360" w14:textId="77777777" w:rsidTr="008F0EBB">
        <w:trPr>
          <w:trHeight w:val="415"/>
        </w:trPr>
        <w:tc>
          <w:tcPr>
            <w:tcW w:w="880" w:type="dxa"/>
            <w:shd w:val="clear" w:color="auto" w:fill="F2F2F2" w:themeFill="background1" w:themeFillShade="F2"/>
          </w:tcPr>
          <w:p w14:paraId="6970A930" w14:textId="77777777" w:rsidR="000D71CF" w:rsidRPr="001A2786" w:rsidRDefault="000D71CF" w:rsidP="008F0EBB">
            <w:pPr>
              <w:pStyle w:val="TableBodyText"/>
            </w:pPr>
            <w:r w:rsidRPr="001A2786">
              <w:t>35.5</w:t>
            </w:r>
          </w:p>
        </w:tc>
        <w:tc>
          <w:tcPr>
            <w:tcW w:w="2268" w:type="dxa"/>
            <w:shd w:val="clear" w:color="auto" w:fill="F2F2F2" w:themeFill="background1" w:themeFillShade="F2"/>
          </w:tcPr>
          <w:p w14:paraId="221778AC" w14:textId="77777777" w:rsidR="000D71CF" w:rsidRPr="001A2786" w:rsidRDefault="000D71CF" w:rsidP="008F0EBB">
            <w:pPr>
              <w:pStyle w:val="TableBodyText"/>
            </w:pPr>
            <w:r w:rsidRPr="001A2786">
              <w:t>Extension of Time for Practical Completion</w:t>
            </w:r>
          </w:p>
        </w:tc>
        <w:tc>
          <w:tcPr>
            <w:tcW w:w="5953" w:type="dxa"/>
            <w:shd w:val="clear" w:color="auto" w:fill="auto"/>
          </w:tcPr>
          <w:p w14:paraId="797D16FA" w14:textId="7B269D15" w:rsidR="000D71CF" w:rsidRPr="001A2786" w:rsidRDefault="000D71CF" w:rsidP="008F0EBB">
            <w:pPr>
              <w:pStyle w:val="TableBodyText"/>
              <w:rPr>
                <w:highlight w:val="green"/>
              </w:rPr>
            </w:pPr>
            <w:r w:rsidRPr="001A2786">
              <w:t>Within 20</w:t>
            </w:r>
            <w:r w:rsidR="008F0EBB">
              <w:t> </w:t>
            </w:r>
            <w:r w:rsidRPr="001A2786">
              <w:t>Business</w:t>
            </w:r>
            <w:r w:rsidR="008F0EBB">
              <w:t> </w:t>
            </w:r>
            <w:r w:rsidRPr="001A2786">
              <w:t>Days after receipt of a claim for an extension of time, grant a reasonable extension of time.</w:t>
            </w:r>
          </w:p>
        </w:tc>
      </w:tr>
      <w:tr w:rsidR="000F0B07" w14:paraId="509A10AE" w14:textId="77777777" w:rsidTr="008F0EBB">
        <w:trPr>
          <w:trHeight w:val="397"/>
        </w:trPr>
        <w:tc>
          <w:tcPr>
            <w:tcW w:w="880" w:type="dxa"/>
            <w:shd w:val="clear" w:color="auto" w:fill="F2F2F2" w:themeFill="background1" w:themeFillShade="F2"/>
          </w:tcPr>
          <w:p w14:paraId="2041FBC6" w14:textId="4C781513" w:rsidR="000F0B07" w:rsidRPr="001A2786" w:rsidRDefault="000F0B07" w:rsidP="000F0B07">
            <w:pPr>
              <w:pStyle w:val="TableBodyText"/>
            </w:pPr>
            <w:r>
              <w:t>36</w:t>
            </w:r>
          </w:p>
        </w:tc>
        <w:tc>
          <w:tcPr>
            <w:tcW w:w="2268" w:type="dxa"/>
            <w:shd w:val="clear" w:color="auto" w:fill="F2F2F2" w:themeFill="background1" w:themeFillShade="F2"/>
          </w:tcPr>
          <w:p w14:paraId="1E64A2DD" w14:textId="1FD0802F" w:rsidR="000F0B07" w:rsidRPr="001A2786" w:rsidRDefault="000F0B07" w:rsidP="000F0B07">
            <w:pPr>
              <w:pStyle w:val="TableBodyText"/>
            </w:pPr>
            <w:r>
              <w:t>Delay costs</w:t>
            </w:r>
          </w:p>
        </w:tc>
        <w:tc>
          <w:tcPr>
            <w:tcW w:w="5953" w:type="dxa"/>
            <w:shd w:val="clear" w:color="auto" w:fill="auto"/>
          </w:tcPr>
          <w:p w14:paraId="15C8BA26" w14:textId="50DFFD18" w:rsidR="000F0B07" w:rsidRPr="001A2786" w:rsidRDefault="000F0B07" w:rsidP="000F0B07">
            <w:pPr>
              <w:pStyle w:val="TableBodyText"/>
            </w:pPr>
            <w:r>
              <w:t>Value the delay cost in accordance with Clause</w:t>
            </w:r>
            <w:r w:rsidR="008B16C3">
              <w:t> </w:t>
            </w:r>
            <w:r>
              <w:t>36</w:t>
            </w:r>
          </w:p>
        </w:tc>
      </w:tr>
      <w:tr w:rsidR="000F0B07" w14:paraId="74825A91" w14:textId="77777777" w:rsidTr="008F0EBB">
        <w:trPr>
          <w:trHeight w:val="397"/>
        </w:trPr>
        <w:tc>
          <w:tcPr>
            <w:tcW w:w="880" w:type="dxa"/>
            <w:shd w:val="clear" w:color="auto" w:fill="F2F2F2" w:themeFill="background1" w:themeFillShade="F2"/>
          </w:tcPr>
          <w:p w14:paraId="417ECAFD" w14:textId="77777777" w:rsidR="000F0B07" w:rsidRPr="001A2786" w:rsidRDefault="000F0B07" w:rsidP="000F0B07">
            <w:pPr>
              <w:pStyle w:val="TableBodyText"/>
            </w:pPr>
            <w:r w:rsidRPr="001A2786">
              <w:t>41</w:t>
            </w:r>
          </w:p>
        </w:tc>
        <w:tc>
          <w:tcPr>
            <w:tcW w:w="2268" w:type="dxa"/>
            <w:shd w:val="clear" w:color="auto" w:fill="F2F2F2" w:themeFill="background1" w:themeFillShade="F2"/>
          </w:tcPr>
          <w:p w14:paraId="383E1557" w14:textId="77777777" w:rsidR="000F0B07" w:rsidRPr="001A2786" w:rsidRDefault="000F0B07" w:rsidP="000F0B07">
            <w:pPr>
              <w:pStyle w:val="TableBodyText"/>
            </w:pPr>
            <w:r w:rsidRPr="001A2786">
              <w:t>Daywork</w:t>
            </w:r>
          </w:p>
        </w:tc>
        <w:tc>
          <w:tcPr>
            <w:tcW w:w="5953" w:type="dxa"/>
            <w:shd w:val="clear" w:color="auto" w:fill="auto"/>
          </w:tcPr>
          <w:p w14:paraId="40C584BF" w14:textId="2BB413D9" w:rsidR="000F0B07" w:rsidRPr="001A2786" w:rsidRDefault="000F0B07" w:rsidP="000F0B07">
            <w:pPr>
              <w:pStyle w:val="TableBodyText"/>
            </w:pPr>
            <w:r w:rsidRPr="001A2786">
              <w:t>Value the Daywork in accordance with Clause</w:t>
            </w:r>
            <w:r>
              <w:t> </w:t>
            </w:r>
            <w:r w:rsidRPr="001A2786">
              <w:t>41.</w:t>
            </w:r>
          </w:p>
        </w:tc>
      </w:tr>
      <w:tr w:rsidR="000F0B07" w14:paraId="557F1A37" w14:textId="77777777" w:rsidTr="008F0EBB">
        <w:trPr>
          <w:trHeight w:val="397"/>
        </w:trPr>
        <w:tc>
          <w:tcPr>
            <w:tcW w:w="880" w:type="dxa"/>
            <w:shd w:val="clear" w:color="auto" w:fill="F2F2F2" w:themeFill="background1" w:themeFillShade="F2"/>
          </w:tcPr>
          <w:p w14:paraId="47D95BF2" w14:textId="77777777" w:rsidR="000F0B07" w:rsidRPr="001A2786" w:rsidRDefault="000F0B07" w:rsidP="000F0B07">
            <w:pPr>
              <w:pStyle w:val="TableBodyText"/>
            </w:pPr>
            <w:r w:rsidRPr="001A2786">
              <w:t>42.1</w:t>
            </w:r>
          </w:p>
        </w:tc>
        <w:tc>
          <w:tcPr>
            <w:tcW w:w="2268" w:type="dxa"/>
            <w:shd w:val="clear" w:color="auto" w:fill="F2F2F2" w:themeFill="background1" w:themeFillShade="F2"/>
          </w:tcPr>
          <w:p w14:paraId="78A922B6" w14:textId="77777777" w:rsidR="000F0B07" w:rsidRPr="001A2786" w:rsidRDefault="000F0B07" w:rsidP="000F0B07">
            <w:pPr>
              <w:pStyle w:val="TableBodyText"/>
            </w:pPr>
            <w:r w:rsidRPr="001A2786">
              <w:t>Payment Claims, Certificates, Calculations and Time for Payment</w:t>
            </w:r>
          </w:p>
        </w:tc>
        <w:tc>
          <w:tcPr>
            <w:tcW w:w="5953" w:type="dxa"/>
            <w:shd w:val="clear" w:color="auto" w:fill="auto"/>
          </w:tcPr>
          <w:p w14:paraId="0BA58B1E" w14:textId="2D751C67" w:rsidR="000F0B07" w:rsidRPr="001A2786" w:rsidRDefault="000F0B07" w:rsidP="000F0B07">
            <w:pPr>
              <w:pStyle w:val="TableBodyText"/>
            </w:pPr>
            <w:r w:rsidRPr="001A2786">
              <w:t>Within 10</w:t>
            </w:r>
            <w:r>
              <w:t> </w:t>
            </w:r>
            <w:r w:rsidRPr="001A2786">
              <w:t>Business</w:t>
            </w:r>
            <w:r>
              <w:t> </w:t>
            </w:r>
            <w:r w:rsidRPr="001A2786">
              <w:t>Days of receipt of a payment claim issue to the Principal and the Contractor a payment certificate stating the amount of payment which is to be made by the Principal to the Contractor or by the Contractor to the Principal.</w:t>
            </w:r>
          </w:p>
          <w:p w14:paraId="68D6C00F" w14:textId="77777777" w:rsidR="000F0B07" w:rsidRPr="001A2786" w:rsidRDefault="000F0B07" w:rsidP="000F0B07">
            <w:pPr>
              <w:pStyle w:val="TableBodyText"/>
            </w:pPr>
            <w:r w:rsidRPr="001A2786">
              <w:t>Shall set out in the payment certificate the calculations used to arrive at the amount and reasons for any difference in the amount.</w:t>
            </w:r>
          </w:p>
          <w:p w14:paraId="4BE2C3D2" w14:textId="3FC889C6" w:rsidR="000F0B07" w:rsidRPr="001A2786" w:rsidRDefault="000F0B07" w:rsidP="000F0B07">
            <w:pPr>
              <w:pStyle w:val="TableBodyText"/>
              <w:rPr>
                <w:highlight w:val="green"/>
              </w:rPr>
            </w:pPr>
            <w:r w:rsidRPr="001A2786">
              <w:t>May issue a payment certificate even if the Contractor fails to make a payment claim.</w:t>
            </w:r>
          </w:p>
        </w:tc>
      </w:tr>
      <w:tr w:rsidR="000F0B07" w14:paraId="41F2E79F" w14:textId="77777777" w:rsidTr="008F0EBB">
        <w:trPr>
          <w:trHeight w:val="397"/>
        </w:trPr>
        <w:tc>
          <w:tcPr>
            <w:tcW w:w="880" w:type="dxa"/>
            <w:shd w:val="clear" w:color="auto" w:fill="F2F2F2" w:themeFill="background1" w:themeFillShade="F2"/>
          </w:tcPr>
          <w:p w14:paraId="081DA266" w14:textId="77777777" w:rsidR="000F0B07" w:rsidRPr="001A2786" w:rsidRDefault="000F0B07" w:rsidP="000F0B07">
            <w:pPr>
              <w:pStyle w:val="TableBodyText"/>
            </w:pPr>
            <w:r w:rsidRPr="001A2786">
              <w:t>42.5</w:t>
            </w:r>
          </w:p>
        </w:tc>
        <w:tc>
          <w:tcPr>
            <w:tcW w:w="2268" w:type="dxa"/>
            <w:shd w:val="clear" w:color="auto" w:fill="F2F2F2" w:themeFill="background1" w:themeFillShade="F2"/>
          </w:tcPr>
          <w:p w14:paraId="73EBE48A" w14:textId="77777777" w:rsidR="000F0B07" w:rsidRPr="001A2786" w:rsidRDefault="000F0B07" w:rsidP="000F0B07">
            <w:pPr>
              <w:pStyle w:val="TableBodyText"/>
            </w:pPr>
            <w:r w:rsidRPr="001A2786">
              <w:t>Certificate of Practical Completion</w:t>
            </w:r>
          </w:p>
        </w:tc>
        <w:tc>
          <w:tcPr>
            <w:tcW w:w="5953" w:type="dxa"/>
            <w:shd w:val="clear" w:color="auto" w:fill="auto"/>
          </w:tcPr>
          <w:p w14:paraId="3BAB78E5" w14:textId="145B1588" w:rsidR="000F0B07" w:rsidRPr="001A2786" w:rsidRDefault="000F0B07" w:rsidP="000F0B07">
            <w:pPr>
              <w:pStyle w:val="TableBodyText"/>
            </w:pPr>
            <w:r w:rsidRPr="001A2786">
              <w:t>Issue to the Contractor and Principal a Certificate of Practical Completion certifying the Date of Practical Completion within 10</w:t>
            </w:r>
            <w:r>
              <w:t> </w:t>
            </w:r>
            <w:r w:rsidRPr="001A2786">
              <w:t>Business</w:t>
            </w:r>
            <w:r>
              <w:t> </w:t>
            </w:r>
            <w:r w:rsidRPr="001A2786">
              <w:t>Days of receipt of a written request for a Certificate of Practical Completion.</w:t>
            </w:r>
          </w:p>
          <w:p w14:paraId="743C220B" w14:textId="0B5A3EEF" w:rsidR="000F0B07" w:rsidRPr="001A2786" w:rsidRDefault="000F0B07" w:rsidP="000F0B07">
            <w:pPr>
              <w:pStyle w:val="TableBodyText"/>
              <w:rPr>
                <w:highlight w:val="green"/>
              </w:rPr>
            </w:pPr>
            <w:r w:rsidRPr="001A2786">
              <w:t>May issue a Certificate of Practical Completion when of the opinion that Practical Completion has been reached, whether or not the Contractor requests it be issued.</w:t>
            </w:r>
          </w:p>
        </w:tc>
      </w:tr>
      <w:tr w:rsidR="000F0B07" w14:paraId="29E45C82" w14:textId="77777777" w:rsidTr="008F0EBB">
        <w:trPr>
          <w:trHeight w:val="397"/>
        </w:trPr>
        <w:tc>
          <w:tcPr>
            <w:tcW w:w="880" w:type="dxa"/>
            <w:shd w:val="clear" w:color="auto" w:fill="F2F2F2" w:themeFill="background1" w:themeFillShade="F2"/>
          </w:tcPr>
          <w:p w14:paraId="1EACA0B2" w14:textId="77777777" w:rsidR="000F0B07" w:rsidRPr="001A2786" w:rsidRDefault="000F0B07" w:rsidP="000F0B07">
            <w:pPr>
              <w:pStyle w:val="TableBodyText"/>
            </w:pPr>
            <w:r w:rsidRPr="001A2786">
              <w:t>42.8</w:t>
            </w:r>
          </w:p>
        </w:tc>
        <w:tc>
          <w:tcPr>
            <w:tcW w:w="2268" w:type="dxa"/>
            <w:shd w:val="clear" w:color="auto" w:fill="F2F2F2" w:themeFill="background1" w:themeFillShade="F2"/>
          </w:tcPr>
          <w:p w14:paraId="5F9D8FA6" w14:textId="77777777" w:rsidR="000F0B07" w:rsidRPr="001A2786" w:rsidRDefault="000F0B07" w:rsidP="000F0B07">
            <w:pPr>
              <w:pStyle w:val="TableBodyText"/>
            </w:pPr>
            <w:r w:rsidRPr="001A2786">
              <w:t>Final Certificate</w:t>
            </w:r>
          </w:p>
        </w:tc>
        <w:tc>
          <w:tcPr>
            <w:tcW w:w="5953" w:type="dxa"/>
            <w:shd w:val="clear" w:color="auto" w:fill="auto"/>
          </w:tcPr>
          <w:p w14:paraId="01F34B85" w14:textId="77777777" w:rsidR="000F0B07" w:rsidRDefault="000F0B07" w:rsidP="000F0B07">
            <w:pPr>
              <w:pStyle w:val="TableBodyText"/>
            </w:pPr>
            <w:r w:rsidRPr="001A2786">
              <w:t>Issue to the Contractor and Principal a final payment certificate endorsed 'Final Certificate' within 10</w:t>
            </w:r>
            <w:r>
              <w:t> </w:t>
            </w:r>
            <w:r w:rsidRPr="001A2786">
              <w:t>Business</w:t>
            </w:r>
            <w:r>
              <w:t> </w:t>
            </w:r>
            <w:r w:rsidRPr="001A2786">
              <w:t>Days of the later of the receipt of the Contractor's Final Payment Claim</w:t>
            </w:r>
            <w:r>
              <w:t> </w:t>
            </w:r>
            <w:r w:rsidRPr="001A2786">
              <w:t>(or the expiration of time for its lodgement) and the Contractor having completed making good of defects.</w:t>
            </w:r>
          </w:p>
          <w:p w14:paraId="6BAC4242" w14:textId="77777777" w:rsidR="008B16C3" w:rsidRDefault="008B16C3" w:rsidP="000F0B07">
            <w:pPr>
              <w:pStyle w:val="TableBodyText"/>
            </w:pPr>
          </w:p>
          <w:p w14:paraId="4D645A63" w14:textId="77777777" w:rsidR="008B16C3" w:rsidRDefault="008B16C3" w:rsidP="000F0B07">
            <w:pPr>
              <w:pStyle w:val="TableBodyText"/>
            </w:pPr>
          </w:p>
          <w:p w14:paraId="1308EFA3" w14:textId="77777777" w:rsidR="008B16C3" w:rsidRDefault="008B16C3" w:rsidP="000F0B07">
            <w:pPr>
              <w:pStyle w:val="TableBodyText"/>
            </w:pPr>
          </w:p>
          <w:p w14:paraId="56DA7376" w14:textId="77777777" w:rsidR="008B16C3" w:rsidRDefault="008B16C3" w:rsidP="000F0B07">
            <w:pPr>
              <w:pStyle w:val="TableBodyText"/>
            </w:pPr>
          </w:p>
          <w:p w14:paraId="4550281A" w14:textId="77777777" w:rsidR="008B16C3" w:rsidRDefault="008B16C3" w:rsidP="000F0B07">
            <w:pPr>
              <w:pStyle w:val="TableBodyText"/>
            </w:pPr>
          </w:p>
          <w:p w14:paraId="60A7CE8A" w14:textId="77777777" w:rsidR="008B16C3" w:rsidRDefault="008B16C3" w:rsidP="000F0B07">
            <w:pPr>
              <w:pStyle w:val="TableBodyText"/>
            </w:pPr>
          </w:p>
          <w:p w14:paraId="6C4BE814" w14:textId="77777777" w:rsidR="008B16C3" w:rsidRDefault="008B16C3" w:rsidP="000F0B07">
            <w:pPr>
              <w:pStyle w:val="TableBodyText"/>
            </w:pPr>
          </w:p>
          <w:p w14:paraId="78F48069" w14:textId="77777777" w:rsidR="008B16C3" w:rsidRDefault="008B16C3" w:rsidP="000F0B07">
            <w:pPr>
              <w:pStyle w:val="TableBodyText"/>
            </w:pPr>
          </w:p>
          <w:p w14:paraId="3A9CBBFB" w14:textId="56EF32FB" w:rsidR="008B16C3" w:rsidRPr="001A2786" w:rsidRDefault="008B16C3" w:rsidP="008B16C3">
            <w:pPr>
              <w:pStyle w:val="TableBodyText"/>
              <w:ind w:left="0"/>
            </w:pPr>
          </w:p>
        </w:tc>
      </w:tr>
      <w:tr w:rsidR="000F0B07" w14:paraId="42CD2BBC" w14:textId="77777777" w:rsidTr="008F0EBB">
        <w:trPr>
          <w:trHeight w:val="397"/>
        </w:trPr>
        <w:tc>
          <w:tcPr>
            <w:tcW w:w="880" w:type="dxa"/>
            <w:shd w:val="clear" w:color="auto" w:fill="F2F2F2" w:themeFill="background1" w:themeFillShade="F2"/>
          </w:tcPr>
          <w:p w14:paraId="38BDB647" w14:textId="77777777" w:rsidR="000F0B07" w:rsidRPr="001A2786" w:rsidRDefault="000F0B07" w:rsidP="000F0B07">
            <w:pPr>
              <w:pStyle w:val="TableBodyText"/>
              <w:keepNext/>
              <w:keepLines/>
            </w:pPr>
            <w:r w:rsidRPr="001A2786">
              <w:lastRenderedPageBreak/>
              <w:t>44.6</w:t>
            </w:r>
          </w:p>
        </w:tc>
        <w:tc>
          <w:tcPr>
            <w:tcW w:w="2268" w:type="dxa"/>
            <w:shd w:val="clear" w:color="auto" w:fill="F2F2F2" w:themeFill="background1" w:themeFillShade="F2"/>
          </w:tcPr>
          <w:p w14:paraId="61068D78" w14:textId="77777777" w:rsidR="000F0B07" w:rsidRPr="001A2786" w:rsidRDefault="000F0B07" w:rsidP="000F0B07">
            <w:pPr>
              <w:pStyle w:val="TableBodyText"/>
              <w:keepNext/>
              <w:keepLines/>
            </w:pPr>
            <w:r w:rsidRPr="001A2786">
              <w:t>Adjustment on Completion of the Work Taken Out of the Hand of the Contractor</w:t>
            </w:r>
          </w:p>
        </w:tc>
        <w:tc>
          <w:tcPr>
            <w:tcW w:w="5953" w:type="dxa"/>
            <w:shd w:val="clear" w:color="auto" w:fill="auto"/>
          </w:tcPr>
          <w:p w14:paraId="536E1FF7" w14:textId="68F27F77" w:rsidR="000F0B07" w:rsidRPr="001A2786" w:rsidRDefault="000F0B07" w:rsidP="000F0B07">
            <w:pPr>
              <w:pStyle w:val="TableBodyText"/>
              <w:keepNext/>
              <w:keepLines/>
            </w:pPr>
            <w:r w:rsidRPr="001A2786">
              <w:t>Ascertain the costs incurred by the Principal in completing the work taken out of the Contractor's hand</w:t>
            </w:r>
            <w:r>
              <w:t>s</w:t>
            </w:r>
            <w:r w:rsidRPr="001A2786">
              <w:t xml:space="preserve"> under clause</w:t>
            </w:r>
            <w:r>
              <w:t> </w:t>
            </w:r>
            <w:r w:rsidRPr="001A2786">
              <w:t>44.4(a) and issue a certificate certifying the amount of that cost.</w:t>
            </w:r>
          </w:p>
        </w:tc>
      </w:tr>
      <w:tr w:rsidR="000F0B07" w14:paraId="3AD59FD0" w14:textId="77777777" w:rsidTr="008F0EBB">
        <w:trPr>
          <w:trHeight w:val="397"/>
        </w:trPr>
        <w:tc>
          <w:tcPr>
            <w:tcW w:w="880" w:type="dxa"/>
            <w:shd w:val="clear" w:color="auto" w:fill="F2F2F2" w:themeFill="background1" w:themeFillShade="F2"/>
          </w:tcPr>
          <w:p w14:paraId="3CC7A19A" w14:textId="48C3ECEC" w:rsidR="000F0B07" w:rsidRPr="001A2786" w:rsidRDefault="000F0B07" w:rsidP="000F0B07">
            <w:pPr>
              <w:pStyle w:val="TableBodyText"/>
              <w:keepNext/>
              <w:keepLines/>
            </w:pPr>
            <w:r w:rsidRPr="002606BD">
              <w:rPr>
                <w:rFonts w:eastAsia="Arial"/>
                <w:szCs w:val="22"/>
              </w:rPr>
              <w:t xml:space="preserve">SWTC 1.2 </w:t>
            </w:r>
          </w:p>
        </w:tc>
        <w:tc>
          <w:tcPr>
            <w:tcW w:w="2268" w:type="dxa"/>
            <w:shd w:val="clear" w:color="auto" w:fill="F2F2F2" w:themeFill="background1" w:themeFillShade="F2"/>
          </w:tcPr>
          <w:p w14:paraId="518F6696" w14:textId="1F64FD2B" w:rsidR="000F0B07" w:rsidRPr="001A2786" w:rsidRDefault="000F0B07" w:rsidP="000F0B07">
            <w:pPr>
              <w:pStyle w:val="TableBodyText"/>
              <w:keepNext/>
              <w:keepLines/>
            </w:pPr>
            <w:r w:rsidRPr="002606BD">
              <w:rPr>
                <w:rFonts w:eastAsia="Arial"/>
                <w:szCs w:val="22"/>
              </w:rPr>
              <w:t xml:space="preserve">Purpose and interpretation of Scope of Works and Technical Criteria (SWTC) </w:t>
            </w:r>
          </w:p>
        </w:tc>
        <w:tc>
          <w:tcPr>
            <w:tcW w:w="5953" w:type="dxa"/>
            <w:shd w:val="clear" w:color="auto" w:fill="auto"/>
          </w:tcPr>
          <w:p w14:paraId="00510F86" w14:textId="341C450F" w:rsidR="000F0B07" w:rsidRPr="002606BD" w:rsidRDefault="000F0B07" w:rsidP="000F0B07">
            <w:pPr>
              <w:keepNext/>
              <w:keepLines/>
              <w:spacing w:after="41" w:line="241" w:lineRule="auto"/>
              <w:ind w:left="1"/>
              <w:rPr>
                <w:rFonts w:ascii="Calibri" w:eastAsia="Calibri" w:hAnsi="Calibri" w:cs="Calibri"/>
                <w:color w:val="000000"/>
                <w:sz w:val="22"/>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 xml:space="preserve">1.2(d), If there are criteria which are mutually exclusive, then the criterion which, in the opinion of the Administrator, delivers the appropriate safety, efficiency, affordable quality and cost effectiveness, must apply. </w:t>
            </w:r>
          </w:p>
          <w:p w14:paraId="40CD444C" w14:textId="3E5D1017" w:rsidR="000F0B07" w:rsidRPr="002606BD" w:rsidRDefault="000F0B07" w:rsidP="000F0B07">
            <w:pPr>
              <w:keepNext/>
              <w:keepLines/>
              <w:spacing w:after="0" w:line="240" w:lineRule="auto"/>
              <w:ind w:left="1"/>
              <w:rPr>
                <w:rFonts w:ascii="Calibri" w:eastAsia="Calibri" w:hAnsi="Calibri" w:cs="Calibri"/>
                <w:color w:val="000000"/>
                <w:sz w:val="22"/>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 xml:space="preserve">1.2(f), written acceptance of the </w:t>
            </w:r>
          </w:p>
          <w:p w14:paraId="055F79F0" w14:textId="7EBA2CCF" w:rsidR="000F0B07" w:rsidRPr="001A2786" w:rsidRDefault="000F0B07" w:rsidP="000F0B07">
            <w:pPr>
              <w:pStyle w:val="TableBodyText"/>
              <w:keepNext/>
              <w:keepLines/>
            </w:pPr>
            <w:r w:rsidRPr="002606BD">
              <w:rPr>
                <w:rFonts w:eastAsia="Arial"/>
                <w:szCs w:val="22"/>
              </w:rPr>
              <w:t>Administrator is required for any departure from any aspect of the</w:t>
            </w:r>
            <w:r>
              <w:rPr>
                <w:rFonts w:eastAsia="Arial"/>
                <w:szCs w:val="22"/>
              </w:rPr>
              <w:t> </w:t>
            </w:r>
            <w:r w:rsidRPr="002606BD">
              <w:rPr>
                <w:rFonts w:eastAsia="Arial"/>
                <w:szCs w:val="22"/>
              </w:rPr>
              <w:t>SWTC.</w:t>
            </w:r>
          </w:p>
        </w:tc>
      </w:tr>
      <w:tr w:rsidR="000F0B07" w14:paraId="2DC459B9" w14:textId="77777777" w:rsidTr="008F0EBB">
        <w:trPr>
          <w:trHeight w:val="397"/>
        </w:trPr>
        <w:tc>
          <w:tcPr>
            <w:tcW w:w="880" w:type="dxa"/>
            <w:shd w:val="clear" w:color="auto" w:fill="F2F2F2" w:themeFill="background1" w:themeFillShade="F2"/>
          </w:tcPr>
          <w:p w14:paraId="69F5228D" w14:textId="60B2DA2F" w:rsidR="000F0B07" w:rsidRPr="002606BD" w:rsidRDefault="000F0B07" w:rsidP="000F0B07">
            <w:pPr>
              <w:pStyle w:val="TableBodyText"/>
              <w:widowControl w:val="0"/>
              <w:rPr>
                <w:rFonts w:eastAsia="Arial"/>
                <w:szCs w:val="22"/>
              </w:rPr>
            </w:pPr>
            <w:r w:rsidRPr="002606BD">
              <w:rPr>
                <w:rFonts w:eastAsia="Arial"/>
                <w:szCs w:val="22"/>
              </w:rPr>
              <w:t xml:space="preserve">SWTC 1.4.1 </w:t>
            </w:r>
          </w:p>
        </w:tc>
        <w:tc>
          <w:tcPr>
            <w:tcW w:w="2268" w:type="dxa"/>
            <w:shd w:val="clear" w:color="auto" w:fill="F2F2F2" w:themeFill="background1" w:themeFillShade="F2"/>
          </w:tcPr>
          <w:p w14:paraId="7C3B68D7" w14:textId="48691DF5" w:rsidR="000F0B07" w:rsidRPr="002606BD" w:rsidRDefault="000F0B07" w:rsidP="000F0B07">
            <w:pPr>
              <w:pStyle w:val="TableBodyText"/>
              <w:widowControl w:val="0"/>
              <w:rPr>
                <w:rFonts w:eastAsia="Arial"/>
                <w:szCs w:val="22"/>
              </w:rPr>
            </w:pPr>
            <w:r w:rsidRPr="002606BD">
              <w:rPr>
                <w:rFonts w:eastAsia="Arial"/>
                <w:szCs w:val="22"/>
              </w:rPr>
              <w:t xml:space="preserve">Reference documents </w:t>
            </w:r>
          </w:p>
        </w:tc>
        <w:tc>
          <w:tcPr>
            <w:tcW w:w="5953" w:type="dxa"/>
            <w:shd w:val="clear" w:color="auto" w:fill="auto"/>
          </w:tcPr>
          <w:p w14:paraId="03AF1487" w14:textId="68CD5D84" w:rsidR="000F0B07" w:rsidRPr="002606BD" w:rsidRDefault="000F0B07" w:rsidP="000F0B07">
            <w:pPr>
              <w:widowControl w:val="0"/>
              <w:spacing w:after="41" w:line="241" w:lineRule="auto"/>
              <w:ind w:left="1" w:right="39"/>
              <w:rPr>
                <w:rFonts w:ascii="Calibri" w:eastAsia="Calibri" w:hAnsi="Calibri" w:cs="Calibri"/>
                <w:color w:val="000000"/>
                <w:sz w:val="22"/>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 xml:space="preserve">1.4.1(d), if there are criteria in two or more reference documents which are mutually exclusive, then the criterion which, in the opinion of the Administrator, delivers the higher standard shall apply. </w:t>
            </w:r>
          </w:p>
          <w:p w14:paraId="6EB32E52" w14:textId="3BCD76AB" w:rsidR="000F0B07" w:rsidRPr="002606BD" w:rsidRDefault="000F0B07" w:rsidP="000F0B07">
            <w:pPr>
              <w:widowControl w:val="0"/>
              <w:spacing w:after="41" w:line="241" w:lineRule="auto"/>
              <w:ind w:left="1"/>
              <w:rPr>
                <w:rFonts w:ascii="Calibri" w:eastAsia="Calibri" w:hAnsi="Calibri" w:cs="Calibri"/>
                <w:color w:val="000000"/>
                <w:sz w:val="22"/>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 xml:space="preserve">1.4.1(o)(i), a reference document provides for a 'desirable' and an 'absolute' design limit, the desirable design limit must apply unless other design limits are accepted in writing by the Administrator or the relevant Authority for those Works. </w:t>
            </w:r>
          </w:p>
          <w:p w14:paraId="0E31F658" w14:textId="544E47ED" w:rsidR="000F0B07" w:rsidRPr="002606BD" w:rsidRDefault="000F0B07" w:rsidP="000F0B07">
            <w:pPr>
              <w:widowControl w:val="0"/>
              <w:spacing w:after="41" w:line="241" w:lineRule="auto"/>
              <w:ind w:left="1"/>
              <w:rPr>
                <w:rFonts w:eastAsia="Arial" w:cs="Arial"/>
                <w:color w:val="000000"/>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1.4.1(o)(iii), a process for the approval of a ‘</w:t>
            </w:r>
            <w:r w:rsidRPr="002606BD">
              <w:rPr>
                <w:rFonts w:eastAsia="Arial" w:cs="Arial"/>
                <w:b/>
                <w:color w:val="FFFFFF"/>
                <w:szCs w:val="22"/>
                <w:shd w:val="clear" w:color="auto" w:fill="000000"/>
              </w:rPr>
              <w:t>Hold</w:t>
            </w:r>
            <w:r>
              <w:rPr>
                <w:rFonts w:eastAsia="Arial" w:cs="Arial"/>
                <w:b/>
                <w:color w:val="FFFFFF"/>
                <w:szCs w:val="22"/>
                <w:shd w:val="clear" w:color="auto" w:fill="000000"/>
              </w:rPr>
              <w:t> </w:t>
            </w:r>
            <w:r w:rsidRPr="002606BD">
              <w:rPr>
                <w:rFonts w:eastAsia="Arial" w:cs="Arial"/>
                <w:b/>
                <w:color w:val="FFFFFF"/>
                <w:szCs w:val="22"/>
                <w:shd w:val="clear" w:color="auto" w:fill="000000"/>
              </w:rPr>
              <w:t>Point</w:t>
            </w:r>
            <w:r w:rsidRPr="002606BD">
              <w:rPr>
                <w:rFonts w:eastAsia="Arial" w:cs="Arial"/>
                <w:color w:val="000000"/>
                <w:szCs w:val="22"/>
              </w:rPr>
              <w:t>’ or the witnessing of a ‘</w:t>
            </w:r>
            <w:r w:rsidRPr="002606BD">
              <w:rPr>
                <w:rFonts w:eastAsia="Arial" w:cs="Arial"/>
                <w:b/>
                <w:color w:val="FFFFFF"/>
                <w:szCs w:val="22"/>
                <w:shd w:val="clear" w:color="auto" w:fill="000000"/>
              </w:rPr>
              <w:t>Witness</w:t>
            </w:r>
            <w:r>
              <w:rPr>
                <w:rFonts w:eastAsia="Arial" w:cs="Arial"/>
                <w:b/>
                <w:color w:val="FFFFFF"/>
                <w:szCs w:val="22"/>
                <w:shd w:val="clear" w:color="auto" w:fill="000000"/>
              </w:rPr>
              <w:t> </w:t>
            </w:r>
            <w:r w:rsidRPr="002606BD">
              <w:rPr>
                <w:rFonts w:eastAsia="Arial" w:cs="Arial"/>
                <w:b/>
                <w:color w:val="FFFFFF"/>
                <w:szCs w:val="22"/>
                <w:shd w:val="clear" w:color="auto" w:fill="000000"/>
              </w:rPr>
              <w:t>Point</w:t>
            </w:r>
            <w:r w:rsidRPr="002606BD">
              <w:rPr>
                <w:rFonts w:eastAsia="Arial" w:cs="Arial"/>
                <w:color w:val="000000"/>
                <w:szCs w:val="22"/>
              </w:rPr>
              <w:t xml:space="preserve">’, relevant to the Contractor’s Works, that obligation or process shall be deemed to impose an obligation on the Administrator. </w:t>
            </w:r>
          </w:p>
        </w:tc>
      </w:tr>
      <w:tr w:rsidR="000F0B07" w14:paraId="54D840AE" w14:textId="77777777" w:rsidTr="008F0EBB">
        <w:trPr>
          <w:trHeight w:val="397"/>
        </w:trPr>
        <w:tc>
          <w:tcPr>
            <w:tcW w:w="880" w:type="dxa"/>
            <w:shd w:val="clear" w:color="auto" w:fill="F2F2F2" w:themeFill="background1" w:themeFillShade="F2"/>
          </w:tcPr>
          <w:p w14:paraId="073636F2" w14:textId="77777777" w:rsidR="000F0B07" w:rsidRPr="002606BD" w:rsidRDefault="000F0B07" w:rsidP="000F0B07">
            <w:pPr>
              <w:spacing w:after="24" w:line="240" w:lineRule="auto"/>
              <w:rPr>
                <w:rFonts w:ascii="Calibri" w:eastAsia="Calibri" w:hAnsi="Calibri" w:cs="Calibri"/>
                <w:color w:val="000000"/>
                <w:sz w:val="22"/>
                <w:szCs w:val="22"/>
              </w:rPr>
            </w:pPr>
            <w:r w:rsidRPr="002606BD">
              <w:rPr>
                <w:rFonts w:eastAsia="Arial" w:cs="Arial"/>
                <w:color w:val="000000"/>
                <w:szCs w:val="22"/>
              </w:rPr>
              <w:t xml:space="preserve">SWTC </w:t>
            </w:r>
          </w:p>
          <w:p w14:paraId="2C41CDAC" w14:textId="45E68C53" w:rsidR="000F0B07" w:rsidRPr="002606BD" w:rsidRDefault="000F0B07" w:rsidP="000F0B07">
            <w:pPr>
              <w:pStyle w:val="TableBodyText"/>
              <w:keepNext/>
              <w:keepLines/>
              <w:rPr>
                <w:rFonts w:eastAsia="Arial"/>
                <w:szCs w:val="22"/>
              </w:rPr>
            </w:pPr>
            <w:r w:rsidRPr="002606BD">
              <w:rPr>
                <w:rFonts w:eastAsia="Arial"/>
                <w:szCs w:val="22"/>
              </w:rPr>
              <w:t xml:space="preserve">1.4.3 </w:t>
            </w:r>
          </w:p>
        </w:tc>
        <w:tc>
          <w:tcPr>
            <w:tcW w:w="2268" w:type="dxa"/>
            <w:shd w:val="clear" w:color="auto" w:fill="F2F2F2" w:themeFill="background1" w:themeFillShade="F2"/>
          </w:tcPr>
          <w:p w14:paraId="38A21EA6" w14:textId="77777777" w:rsidR="000F0B07" w:rsidRPr="002606BD" w:rsidRDefault="000F0B07" w:rsidP="000F0B07">
            <w:pPr>
              <w:spacing w:after="0" w:line="240" w:lineRule="auto"/>
              <w:ind w:left="1"/>
              <w:rPr>
                <w:rFonts w:ascii="Calibri" w:eastAsia="Calibri" w:hAnsi="Calibri" w:cs="Calibri"/>
                <w:color w:val="000000"/>
                <w:sz w:val="22"/>
                <w:szCs w:val="22"/>
              </w:rPr>
            </w:pPr>
            <w:r w:rsidRPr="002606BD">
              <w:rPr>
                <w:rFonts w:eastAsia="Arial" w:cs="Arial"/>
                <w:color w:val="000000"/>
                <w:szCs w:val="22"/>
              </w:rPr>
              <w:t xml:space="preserve">Compliance with </w:t>
            </w:r>
          </w:p>
          <w:p w14:paraId="737BFD86" w14:textId="3E7E9F9F" w:rsidR="000F0B07" w:rsidRPr="002606BD" w:rsidRDefault="000F0B07" w:rsidP="000F0B07">
            <w:pPr>
              <w:pStyle w:val="TableBodyText"/>
              <w:keepNext/>
              <w:keepLines/>
              <w:rPr>
                <w:rFonts w:eastAsia="Arial"/>
                <w:szCs w:val="22"/>
              </w:rPr>
            </w:pPr>
            <w:r w:rsidRPr="002606BD">
              <w:rPr>
                <w:rFonts w:eastAsia="Arial"/>
                <w:szCs w:val="22"/>
              </w:rPr>
              <w:t xml:space="preserve">department’s Specifications </w:t>
            </w:r>
          </w:p>
        </w:tc>
        <w:tc>
          <w:tcPr>
            <w:tcW w:w="5953" w:type="dxa"/>
            <w:shd w:val="clear" w:color="auto" w:fill="auto"/>
          </w:tcPr>
          <w:p w14:paraId="1ABE5E05" w14:textId="49AE9C18" w:rsidR="000F0B07" w:rsidRPr="002606BD" w:rsidRDefault="000F0B07" w:rsidP="000F0B07">
            <w:pPr>
              <w:spacing w:after="38" w:line="241" w:lineRule="auto"/>
              <w:ind w:left="1"/>
              <w:rPr>
                <w:rFonts w:ascii="Calibri" w:eastAsia="Calibri" w:hAnsi="Calibri" w:cs="Calibri"/>
                <w:color w:val="000000"/>
                <w:sz w:val="22"/>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 xml:space="preserve">1.4.3(b), the Contractor must not deviate in any way from the Specifications without receiving written acceptance for the proposed deviation from the Administrator. </w:t>
            </w:r>
          </w:p>
          <w:p w14:paraId="76B9E6CD" w14:textId="6DD5AAE4" w:rsidR="000F0B07" w:rsidRPr="002606BD" w:rsidRDefault="000F0B07" w:rsidP="000F0B07">
            <w:pPr>
              <w:spacing w:after="41" w:line="241" w:lineRule="auto"/>
              <w:ind w:left="1" w:right="39"/>
              <w:rPr>
                <w:rFonts w:eastAsia="Arial" w:cs="Arial"/>
                <w:color w:val="000000"/>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1.4.3(d)(i), the alternative standard must be accepted in writing by the Administrator.</w:t>
            </w:r>
          </w:p>
        </w:tc>
      </w:tr>
      <w:tr w:rsidR="000F0B07" w14:paraId="11F28175" w14:textId="77777777" w:rsidTr="008F0EBB">
        <w:trPr>
          <w:trHeight w:val="397"/>
        </w:trPr>
        <w:tc>
          <w:tcPr>
            <w:tcW w:w="880" w:type="dxa"/>
            <w:shd w:val="clear" w:color="auto" w:fill="F2F2F2" w:themeFill="background1" w:themeFillShade="F2"/>
          </w:tcPr>
          <w:p w14:paraId="79F67AD9" w14:textId="1F5D1B61" w:rsidR="000F0B07" w:rsidRPr="002606BD" w:rsidRDefault="000F0B07" w:rsidP="000F0B07">
            <w:pPr>
              <w:spacing w:after="24" w:line="240" w:lineRule="auto"/>
              <w:rPr>
                <w:rFonts w:eastAsia="Arial" w:cs="Arial"/>
                <w:color w:val="000000"/>
                <w:szCs w:val="22"/>
              </w:rPr>
            </w:pPr>
            <w:r w:rsidRPr="002606BD">
              <w:rPr>
                <w:rFonts w:eastAsia="Arial" w:cs="Arial"/>
                <w:color w:val="000000"/>
                <w:szCs w:val="22"/>
              </w:rPr>
              <w:t xml:space="preserve">SWTC 2.6.1 </w:t>
            </w:r>
          </w:p>
        </w:tc>
        <w:tc>
          <w:tcPr>
            <w:tcW w:w="2268" w:type="dxa"/>
            <w:shd w:val="clear" w:color="auto" w:fill="F2F2F2" w:themeFill="background1" w:themeFillShade="F2"/>
          </w:tcPr>
          <w:p w14:paraId="7FD3E0EC" w14:textId="51F022B7" w:rsidR="000F0B07" w:rsidRPr="002606BD" w:rsidRDefault="000F0B07" w:rsidP="000F0B07">
            <w:pPr>
              <w:spacing w:after="0" w:line="240" w:lineRule="auto"/>
              <w:ind w:left="1"/>
              <w:rPr>
                <w:rFonts w:eastAsia="Arial" w:cs="Arial"/>
                <w:color w:val="000000"/>
                <w:szCs w:val="22"/>
              </w:rPr>
            </w:pPr>
            <w:r w:rsidRPr="002606BD">
              <w:rPr>
                <w:rFonts w:eastAsia="Arial" w:cs="Arial"/>
                <w:color w:val="000000"/>
                <w:szCs w:val="22"/>
              </w:rPr>
              <w:t xml:space="preserve">General </w:t>
            </w:r>
          </w:p>
        </w:tc>
        <w:tc>
          <w:tcPr>
            <w:tcW w:w="5953" w:type="dxa"/>
            <w:shd w:val="clear" w:color="auto" w:fill="auto"/>
          </w:tcPr>
          <w:p w14:paraId="7E68B4F1" w14:textId="4C9220C2" w:rsidR="000F0B07" w:rsidRPr="002606BD" w:rsidRDefault="000F0B07" w:rsidP="000F0B07">
            <w:pPr>
              <w:spacing w:after="38" w:line="241" w:lineRule="auto"/>
              <w:ind w:left="1"/>
              <w:rPr>
                <w:rFonts w:eastAsia="Arial" w:cs="Arial"/>
                <w:color w:val="000000"/>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 xml:space="preserve">2.6.1(b), all project plans must incorporate the requirements and recommendations of the Administrator. </w:t>
            </w:r>
          </w:p>
        </w:tc>
      </w:tr>
      <w:tr w:rsidR="000F0B07" w14:paraId="798BF5D0" w14:textId="77777777" w:rsidTr="008F0EBB">
        <w:trPr>
          <w:trHeight w:val="397"/>
        </w:trPr>
        <w:tc>
          <w:tcPr>
            <w:tcW w:w="880" w:type="dxa"/>
            <w:shd w:val="clear" w:color="auto" w:fill="F2F2F2" w:themeFill="background1" w:themeFillShade="F2"/>
          </w:tcPr>
          <w:p w14:paraId="41384D92" w14:textId="09622DE4" w:rsidR="000F0B07" w:rsidRPr="002606BD" w:rsidRDefault="000F0B07" w:rsidP="000F0B07">
            <w:pPr>
              <w:spacing w:after="24" w:line="240" w:lineRule="auto"/>
              <w:rPr>
                <w:rFonts w:eastAsia="Arial" w:cs="Arial"/>
                <w:color w:val="000000"/>
                <w:szCs w:val="22"/>
              </w:rPr>
            </w:pPr>
            <w:r w:rsidRPr="002606BD">
              <w:rPr>
                <w:rFonts w:eastAsia="Arial" w:cs="Arial"/>
                <w:color w:val="000000"/>
                <w:szCs w:val="22"/>
              </w:rPr>
              <w:t xml:space="preserve">SWTC 3.1.5 </w:t>
            </w:r>
          </w:p>
        </w:tc>
        <w:tc>
          <w:tcPr>
            <w:tcW w:w="2268" w:type="dxa"/>
            <w:shd w:val="clear" w:color="auto" w:fill="F2F2F2" w:themeFill="background1" w:themeFillShade="F2"/>
          </w:tcPr>
          <w:p w14:paraId="2804B66D" w14:textId="7DB0221E" w:rsidR="000F0B07" w:rsidRPr="002606BD" w:rsidRDefault="000F0B07" w:rsidP="000F0B07">
            <w:pPr>
              <w:spacing w:after="0" w:line="240" w:lineRule="auto"/>
              <w:ind w:left="1"/>
              <w:rPr>
                <w:rFonts w:eastAsia="Arial" w:cs="Arial"/>
                <w:color w:val="000000"/>
                <w:szCs w:val="22"/>
              </w:rPr>
            </w:pPr>
            <w:r w:rsidRPr="002606BD">
              <w:rPr>
                <w:rFonts w:eastAsia="Arial" w:cs="Arial"/>
                <w:color w:val="000000"/>
                <w:szCs w:val="22"/>
              </w:rPr>
              <w:t>Non</w:t>
            </w:r>
            <w:r>
              <w:rPr>
                <w:rFonts w:eastAsia="Arial" w:cs="Arial"/>
                <w:color w:val="000000"/>
                <w:szCs w:val="22"/>
              </w:rPr>
              <w:noBreakHyphen/>
            </w:r>
            <w:r w:rsidRPr="002606BD">
              <w:rPr>
                <w:rFonts w:eastAsia="Arial" w:cs="Arial"/>
                <w:color w:val="000000"/>
                <w:szCs w:val="22"/>
              </w:rPr>
              <w:t xml:space="preserve">conformances and continuous improvement </w:t>
            </w:r>
          </w:p>
        </w:tc>
        <w:tc>
          <w:tcPr>
            <w:tcW w:w="5953" w:type="dxa"/>
            <w:shd w:val="clear" w:color="auto" w:fill="auto"/>
          </w:tcPr>
          <w:p w14:paraId="57D74C03" w14:textId="79052993" w:rsidR="000F0B07" w:rsidRPr="002606BD" w:rsidRDefault="000F0B07" w:rsidP="000F0B07">
            <w:pPr>
              <w:spacing w:after="38" w:line="241" w:lineRule="auto"/>
              <w:ind w:left="1"/>
              <w:rPr>
                <w:rFonts w:eastAsia="Arial" w:cs="Arial"/>
                <w:color w:val="000000"/>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3.1.5(b), the Administrator may advise the Contractor of apparent non-conformances.</w:t>
            </w:r>
          </w:p>
        </w:tc>
      </w:tr>
      <w:tr w:rsidR="000F0B07" w14:paraId="7BA9571A" w14:textId="77777777" w:rsidTr="008F0EBB">
        <w:trPr>
          <w:trHeight w:val="397"/>
        </w:trPr>
        <w:tc>
          <w:tcPr>
            <w:tcW w:w="880" w:type="dxa"/>
            <w:shd w:val="clear" w:color="auto" w:fill="F2F2F2" w:themeFill="background1" w:themeFillShade="F2"/>
          </w:tcPr>
          <w:p w14:paraId="2A7F8359" w14:textId="77777777" w:rsidR="000F0B07" w:rsidRPr="002606BD" w:rsidRDefault="000F0B07" w:rsidP="000F0B07">
            <w:pPr>
              <w:spacing w:after="24" w:line="240" w:lineRule="auto"/>
              <w:rPr>
                <w:rFonts w:ascii="Calibri" w:eastAsia="Calibri" w:hAnsi="Calibri" w:cs="Calibri"/>
                <w:color w:val="000000"/>
                <w:sz w:val="22"/>
                <w:szCs w:val="22"/>
              </w:rPr>
            </w:pPr>
            <w:r w:rsidRPr="002606BD">
              <w:rPr>
                <w:rFonts w:eastAsia="Arial" w:cs="Arial"/>
                <w:color w:val="000000"/>
                <w:szCs w:val="22"/>
              </w:rPr>
              <w:t xml:space="preserve">SWTC </w:t>
            </w:r>
          </w:p>
          <w:p w14:paraId="13A06F85" w14:textId="78DEAD65" w:rsidR="000F0B07" w:rsidRPr="002606BD" w:rsidRDefault="000F0B07" w:rsidP="000F0B07">
            <w:pPr>
              <w:spacing w:after="24" w:line="240" w:lineRule="auto"/>
              <w:rPr>
                <w:rFonts w:eastAsia="Arial" w:cs="Arial"/>
                <w:color w:val="000000"/>
                <w:szCs w:val="22"/>
              </w:rPr>
            </w:pPr>
            <w:r w:rsidRPr="002606BD">
              <w:rPr>
                <w:rFonts w:eastAsia="Arial" w:cs="Arial"/>
                <w:color w:val="000000"/>
                <w:szCs w:val="22"/>
              </w:rPr>
              <w:t xml:space="preserve">3.1.6 </w:t>
            </w:r>
          </w:p>
        </w:tc>
        <w:tc>
          <w:tcPr>
            <w:tcW w:w="2268" w:type="dxa"/>
            <w:shd w:val="clear" w:color="auto" w:fill="F2F2F2" w:themeFill="background1" w:themeFillShade="F2"/>
          </w:tcPr>
          <w:p w14:paraId="0CE2F7A5" w14:textId="202066D1" w:rsidR="000F0B07" w:rsidRPr="002606BD" w:rsidRDefault="000F0B07" w:rsidP="000F0B07">
            <w:pPr>
              <w:spacing w:after="0" w:line="240" w:lineRule="auto"/>
              <w:ind w:left="1"/>
              <w:rPr>
                <w:rFonts w:eastAsia="Arial" w:cs="Arial"/>
                <w:color w:val="000000"/>
                <w:szCs w:val="22"/>
              </w:rPr>
            </w:pPr>
            <w:r w:rsidRPr="002606BD">
              <w:rPr>
                <w:rFonts w:eastAsia="Arial" w:cs="Arial"/>
                <w:color w:val="000000"/>
                <w:szCs w:val="22"/>
              </w:rPr>
              <w:t>Non</w:t>
            </w:r>
            <w:r>
              <w:rPr>
                <w:rFonts w:eastAsia="Arial" w:cs="Arial"/>
                <w:color w:val="000000"/>
                <w:szCs w:val="22"/>
              </w:rPr>
              <w:noBreakHyphen/>
            </w:r>
            <w:r w:rsidRPr="002606BD">
              <w:rPr>
                <w:rFonts w:eastAsia="Arial" w:cs="Arial"/>
                <w:color w:val="000000"/>
                <w:szCs w:val="22"/>
              </w:rPr>
              <w:t xml:space="preserve">conformances during construction </w:t>
            </w:r>
          </w:p>
        </w:tc>
        <w:tc>
          <w:tcPr>
            <w:tcW w:w="5953" w:type="dxa"/>
            <w:shd w:val="clear" w:color="auto" w:fill="auto"/>
          </w:tcPr>
          <w:p w14:paraId="7A431C80" w14:textId="11FDED4E" w:rsidR="000F0B07" w:rsidRPr="002606BD" w:rsidRDefault="000F0B07" w:rsidP="000F0B07">
            <w:pPr>
              <w:spacing w:after="38" w:line="241" w:lineRule="auto"/>
              <w:ind w:left="1"/>
              <w:rPr>
                <w:rFonts w:eastAsia="Arial" w:cs="Arial"/>
                <w:color w:val="000000"/>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 xml:space="preserve">3.1.6(c), proposals for rectification work of such non-conformance must be reviewed by the relevant Designer and the Administrator. </w:t>
            </w:r>
          </w:p>
        </w:tc>
      </w:tr>
      <w:tr w:rsidR="000F0B07" w14:paraId="616C3C49" w14:textId="77777777" w:rsidTr="008F0EBB">
        <w:trPr>
          <w:trHeight w:val="397"/>
        </w:trPr>
        <w:tc>
          <w:tcPr>
            <w:tcW w:w="880" w:type="dxa"/>
            <w:shd w:val="clear" w:color="auto" w:fill="F2F2F2" w:themeFill="background1" w:themeFillShade="F2"/>
          </w:tcPr>
          <w:p w14:paraId="1051989C" w14:textId="77777777" w:rsidR="000F0B07" w:rsidRPr="002606BD" w:rsidRDefault="000F0B07" w:rsidP="000F0B07">
            <w:pPr>
              <w:spacing w:after="24" w:line="240" w:lineRule="auto"/>
              <w:rPr>
                <w:rFonts w:ascii="Calibri" w:eastAsia="Calibri" w:hAnsi="Calibri" w:cs="Calibri"/>
                <w:color w:val="000000"/>
                <w:sz w:val="22"/>
                <w:szCs w:val="22"/>
              </w:rPr>
            </w:pPr>
            <w:r w:rsidRPr="002606BD">
              <w:rPr>
                <w:rFonts w:eastAsia="Arial" w:cs="Arial"/>
                <w:color w:val="000000"/>
                <w:szCs w:val="22"/>
              </w:rPr>
              <w:t xml:space="preserve">SWTC </w:t>
            </w:r>
          </w:p>
          <w:p w14:paraId="0B3088EF" w14:textId="25585537" w:rsidR="000F0B07" w:rsidRPr="002606BD" w:rsidRDefault="000F0B07" w:rsidP="000F0B07">
            <w:pPr>
              <w:spacing w:after="24" w:line="240" w:lineRule="auto"/>
              <w:rPr>
                <w:rFonts w:eastAsia="Arial" w:cs="Arial"/>
                <w:color w:val="000000"/>
                <w:szCs w:val="22"/>
              </w:rPr>
            </w:pPr>
            <w:r w:rsidRPr="002606BD">
              <w:rPr>
                <w:rFonts w:eastAsia="Arial" w:cs="Arial"/>
                <w:color w:val="000000"/>
                <w:szCs w:val="22"/>
              </w:rPr>
              <w:t xml:space="preserve">3.3.2.3 </w:t>
            </w:r>
          </w:p>
        </w:tc>
        <w:tc>
          <w:tcPr>
            <w:tcW w:w="2268" w:type="dxa"/>
            <w:shd w:val="clear" w:color="auto" w:fill="F2F2F2" w:themeFill="background1" w:themeFillShade="F2"/>
          </w:tcPr>
          <w:p w14:paraId="6001EF12" w14:textId="48C9EFD4" w:rsidR="000F0B07" w:rsidRPr="002606BD" w:rsidRDefault="000F0B07" w:rsidP="000F0B07">
            <w:pPr>
              <w:spacing w:after="0" w:line="240" w:lineRule="auto"/>
              <w:ind w:left="1"/>
              <w:rPr>
                <w:rFonts w:eastAsia="Arial" w:cs="Arial"/>
                <w:color w:val="000000"/>
                <w:szCs w:val="22"/>
              </w:rPr>
            </w:pPr>
            <w:r w:rsidRPr="002606BD">
              <w:rPr>
                <w:rFonts w:eastAsia="Arial" w:cs="Arial"/>
                <w:color w:val="000000"/>
                <w:szCs w:val="22"/>
              </w:rPr>
              <w:t xml:space="preserve">Preliminary Design stage </w:t>
            </w:r>
          </w:p>
        </w:tc>
        <w:tc>
          <w:tcPr>
            <w:tcW w:w="5953" w:type="dxa"/>
            <w:shd w:val="clear" w:color="auto" w:fill="auto"/>
          </w:tcPr>
          <w:p w14:paraId="453D72DC" w14:textId="0602717C" w:rsidR="000F0B07" w:rsidRPr="002606BD" w:rsidRDefault="000F0B07" w:rsidP="000F0B07">
            <w:pPr>
              <w:spacing w:after="38" w:line="241" w:lineRule="auto"/>
              <w:ind w:left="1"/>
              <w:rPr>
                <w:rFonts w:eastAsia="Arial" w:cs="Arial"/>
                <w:color w:val="000000"/>
                <w:szCs w:val="22"/>
              </w:rPr>
            </w:pPr>
            <w:r w:rsidRPr="002606BD">
              <w:rPr>
                <w:rFonts w:eastAsia="Arial" w:cs="Arial"/>
                <w:color w:val="000000"/>
                <w:szCs w:val="22"/>
              </w:rPr>
              <w:t xml:space="preserve">Under Clause 3.3.2.3(c), the design needs to be accepted by the Administrator. </w:t>
            </w:r>
          </w:p>
        </w:tc>
      </w:tr>
      <w:tr w:rsidR="000F0B07" w14:paraId="25C408F6" w14:textId="77777777" w:rsidTr="008F0EBB">
        <w:trPr>
          <w:trHeight w:val="397"/>
        </w:trPr>
        <w:tc>
          <w:tcPr>
            <w:tcW w:w="880" w:type="dxa"/>
            <w:shd w:val="clear" w:color="auto" w:fill="F2F2F2" w:themeFill="background1" w:themeFillShade="F2"/>
          </w:tcPr>
          <w:p w14:paraId="13DE2AB9" w14:textId="6C988188" w:rsidR="000F0B07" w:rsidRPr="002606BD" w:rsidRDefault="000F0B07" w:rsidP="000F0B07">
            <w:pPr>
              <w:spacing w:after="24" w:line="240" w:lineRule="auto"/>
              <w:rPr>
                <w:rFonts w:eastAsia="Arial" w:cs="Arial"/>
                <w:color w:val="000000"/>
                <w:szCs w:val="22"/>
              </w:rPr>
            </w:pPr>
            <w:r w:rsidRPr="002606BD">
              <w:rPr>
                <w:rFonts w:eastAsia="Arial" w:cs="Arial"/>
                <w:color w:val="000000"/>
                <w:szCs w:val="22"/>
              </w:rPr>
              <w:t xml:space="preserve">SWTC 3.3.5 </w:t>
            </w:r>
          </w:p>
        </w:tc>
        <w:tc>
          <w:tcPr>
            <w:tcW w:w="2268" w:type="dxa"/>
            <w:shd w:val="clear" w:color="auto" w:fill="F2F2F2" w:themeFill="background1" w:themeFillShade="F2"/>
          </w:tcPr>
          <w:p w14:paraId="4D19C217" w14:textId="31AE3924" w:rsidR="000F0B07" w:rsidRPr="002606BD" w:rsidRDefault="000F0B07" w:rsidP="000F0B07">
            <w:pPr>
              <w:spacing w:after="0" w:line="240" w:lineRule="auto"/>
              <w:ind w:left="1"/>
              <w:rPr>
                <w:rFonts w:eastAsia="Arial" w:cs="Arial"/>
                <w:color w:val="000000"/>
                <w:szCs w:val="22"/>
              </w:rPr>
            </w:pPr>
            <w:r w:rsidRPr="002606BD">
              <w:rPr>
                <w:rFonts w:eastAsia="Arial" w:cs="Arial"/>
                <w:color w:val="000000"/>
                <w:szCs w:val="22"/>
              </w:rPr>
              <w:t xml:space="preserve">Timing for submissions and reviews </w:t>
            </w:r>
          </w:p>
        </w:tc>
        <w:tc>
          <w:tcPr>
            <w:tcW w:w="5953" w:type="dxa"/>
            <w:shd w:val="clear" w:color="auto" w:fill="auto"/>
          </w:tcPr>
          <w:p w14:paraId="7037BFBF" w14:textId="2F90B463" w:rsidR="000F0B07" w:rsidRPr="002606BD" w:rsidRDefault="000F0B07" w:rsidP="000F0B07">
            <w:pPr>
              <w:spacing w:after="38" w:line="241" w:lineRule="auto"/>
              <w:ind w:left="1"/>
              <w:rPr>
                <w:rFonts w:eastAsia="Arial" w:cs="Arial"/>
                <w:color w:val="000000"/>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3.3.5(b), the Administrator will review all submissions made by the Contractor and respond to submissions within 20</w:t>
            </w:r>
            <w:r>
              <w:rPr>
                <w:rFonts w:eastAsia="Arial" w:cs="Arial"/>
                <w:color w:val="000000"/>
                <w:szCs w:val="22"/>
              </w:rPr>
              <w:t> </w:t>
            </w:r>
            <w:r w:rsidRPr="002606BD">
              <w:rPr>
                <w:rFonts w:eastAsia="Arial" w:cs="Arial"/>
                <w:color w:val="000000"/>
                <w:szCs w:val="22"/>
              </w:rPr>
              <w:t>Business</w:t>
            </w:r>
            <w:r>
              <w:rPr>
                <w:rFonts w:eastAsia="Arial" w:cs="Arial"/>
                <w:color w:val="000000"/>
                <w:szCs w:val="22"/>
              </w:rPr>
              <w:t> </w:t>
            </w:r>
            <w:r w:rsidRPr="002606BD">
              <w:rPr>
                <w:rFonts w:eastAsia="Arial" w:cs="Arial"/>
                <w:color w:val="000000"/>
                <w:szCs w:val="22"/>
              </w:rPr>
              <w:t xml:space="preserve">Days. </w:t>
            </w:r>
          </w:p>
        </w:tc>
      </w:tr>
      <w:tr w:rsidR="000F0B07" w14:paraId="7D519723" w14:textId="77777777" w:rsidTr="008F0EBB">
        <w:trPr>
          <w:trHeight w:val="397"/>
        </w:trPr>
        <w:tc>
          <w:tcPr>
            <w:tcW w:w="880" w:type="dxa"/>
            <w:shd w:val="clear" w:color="auto" w:fill="F2F2F2" w:themeFill="background1" w:themeFillShade="F2"/>
          </w:tcPr>
          <w:p w14:paraId="63C715FE" w14:textId="3E2003BD" w:rsidR="000F0B07" w:rsidRPr="002606BD" w:rsidRDefault="000F0B07" w:rsidP="000F0B07">
            <w:pPr>
              <w:spacing w:after="24" w:line="240" w:lineRule="auto"/>
              <w:rPr>
                <w:rFonts w:eastAsia="Arial" w:cs="Arial"/>
                <w:color w:val="000000"/>
                <w:szCs w:val="22"/>
              </w:rPr>
            </w:pPr>
            <w:r w:rsidRPr="002606BD">
              <w:rPr>
                <w:rFonts w:eastAsia="Arial" w:cs="Arial"/>
                <w:color w:val="000000"/>
                <w:szCs w:val="22"/>
              </w:rPr>
              <w:t xml:space="preserve">SWTC 4.3.2 </w:t>
            </w:r>
          </w:p>
        </w:tc>
        <w:tc>
          <w:tcPr>
            <w:tcW w:w="2268" w:type="dxa"/>
            <w:shd w:val="clear" w:color="auto" w:fill="F2F2F2" w:themeFill="background1" w:themeFillShade="F2"/>
          </w:tcPr>
          <w:p w14:paraId="67A3A004" w14:textId="6D3C4465" w:rsidR="000F0B07" w:rsidRPr="002606BD" w:rsidRDefault="000F0B07" w:rsidP="000F0B07">
            <w:pPr>
              <w:spacing w:after="0" w:line="240" w:lineRule="auto"/>
              <w:ind w:left="1"/>
              <w:rPr>
                <w:rFonts w:eastAsia="Arial" w:cs="Arial"/>
                <w:color w:val="000000"/>
                <w:szCs w:val="22"/>
              </w:rPr>
            </w:pPr>
            <w:r w:rsidRPr="002606BD">
              <w:rPr>
                <w:rFonts w:eastAsia="Arial" w:cs="Arial"/>
                <w:color w:val="000000"/>
                <w:szCs w:val="22"/>
              </w:rPr>
              <w:t xml:space="preserve">Existing buildings and structures </w:t>
            </w:r>
          </w:p>
        </w:tc>
        <w:tc>
          <w:tcPr>
            <w:tcW w:w="5953" w:type="dxa"/>
            <w:shd w:val="clear" w:color="auto" w:fill="auto"/>
          </w:tcPr>
          <w:p w14:paraId="0B3EA521" w14:textId="2D52C81E" w:rsidR="000F0B07" w:rsidRPr="002606BD" w:rsidRDefault="000F0B07" w:rsidP="000F0B07">
            <w:pPr>
              <w:spacing w:after="38" w:line="241" w:lineRule="auto"/>
              <w:ind w:left="1"/>
              <w:rPr>
                <w:rFonts w:eastAsia="Arial" w:cs="Arial"/>
                <w:color w:val="000000"/>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4.3.2(c), the Administrator and the owner, and/or occupier must be issued with a copy of the Condition (Dilapidation)</w:t>
            </w:r>
            <w:r>
              <w:rPr>
                <w:rFonts w:eastAsia="Arial" w:cs="Arial"/>
                <w:color w:val="000000"/>
                <w:szCs w:val="22"/>
              </w:rPr>
              <w:t> </w:t>
            </w:r>
            <w:r w:rsidRPr="002606BD">
              <w:rPr>
                <w:rFonts w:eastAsia="Arial" w:cs="Arial"/>
                <w:color w:val="000000"/>
                <w:szCs w:val="22"/>
              </w:rPr>
              <w:t xml:space="preserve">Report prior to the Contractor commencing the relevant activity </w:t>
            </w:r>
          </w:p>
        </w:tc>
      </w:tr>
      <w:tr w:rsidR="000F0B07" w14:paraId="077D6311" w14:textId="77777777" w:rsidTr="008F0EBB">
        <w:trPr>
          <w:trHeight w:val="397"/>
        </w:trPr>
        <w:tc>
          <w:tcPr>
            <w:tcW w:w="880" w:type="dxa"/>
            <w:shd w:val="clear" w:color="auto" w:fill="F2F2F2" w:themeFill="background1" w:themeFillShade="F2"/>
          </w:tcPr>
          <w:p w14:paraId="0A5D7421" w14:textId="704E469C" w:rsidR="000F0B07" w:rsidRPr="002606BD" w:rsidRDefault="000F0B07" w:rsidP="000F0B07">
            <w:pPr>
              <w:spacing w:after="24" w:line="240" w:lineRule="auto"/>
              <w:rPr>
                <w:rFonts w:eastAsia="Arial" w:cs="Arial"/>
                <w:b/>
                <w:color w:val="FFFFFF"/>
                <w:szCs w:val="22"/>
              </w:rPr>
            </w:pPr>
            <w:r w:rsidRPr="002606BD">
              <w:rPr>
                <w:rFonts w:eastAsia="Arial" w:cs="Arial"/>
                <w:color w:val="000000"/>
                <w:szCs w:val="22"/>
              </w:rPr>
              <w:t xml:space="preserve">SWTC 4.4.1 </w:t>
            </w:r>
          </w:p>
        </w:tc>
        <w:tc>
          <w:tcPr>
            <w:tcW w:w="2268" w:type="dxa"/>
            <w:shd w:val="clear" w:color="auto" w:fill="F2F2F2" w:themeFill="background1" w:themeFillShade="F2"/>
          </w:tcPr>
          <w:p w14:paraId="3E3CD6A7" w14:textId="05F7BACC" w:rsidR="000F0B07" w:rsidRPr="002606BD" w:rsidRDefault="000F0B07" w:rsidP="000F0B07">
            <w:pPr>
              <w:spacing w:after="0" w:line="240" w:lineRule="auto"/>
              <w:ind w:left="1"/>
              <w:rPr>
                <w:rFonts w:eastAsia="Arial" w:cs="Arial"/>
                <w:b/>
                <w:color w:val="FFFFFF"/>
                <w:szCs w:val="22"/>
              </w:rPr>
            </w:pPr>
            <w:r w:rsidRPr="002606BD">
              <w:rPr>
                <w:rFonts w:eastAsia="Arial" w:cs="Arial"/>
                <w:color w:val="000000"/>
                <w:szCs w:val="22"/>
              </w:rPr>
              <w:t xml:space="preserve">Survey standards </w:t>
            </w:r>
          </w:p>
        </w:tc>
        <w:tc>
          <w:tcPr>
            <w:tcW w:w="5953" w:type="dxa"/>
            <w:shd w:val="clear" w:color="auto" w:fill="auto"/>
          </w:tcPr>
          <w:p w14:paraId="3F039524" w14:textId="1DF5B66C" w:rsidR="000F0B07" w:rsidRPr="002606BD" w:rsidRDefault="000F0B07" w:rsidP="000F0B07">
            <w:pPr>
              <w:spacing w:after="38" w:line="241" w:lineRule="auto"/>
              <w:ind w:left="1"/>
              <w:rPr>
                <w:rFonts w:eastAsia="Arial" w:cs="Arial"/>
                <w:b/>
                <w:color w:val="FFFFFF"/>
                <w:szCs w:val="22"/>
              </w:rPr>
            </w:pPr>
            <w:r w:rsidRPr="002606BD">
              <w:rPr>
                <w:rFonts w:eastAsia="Arial" w:cs="Arial"/>
                <w:color w:val="000000"/>
                <w:szCs w:val="22"/>
              </w:rPr>
              <w:t>Under Clause</w:t>
            </w:r>
            <w:r>
              <w:rPr>
                <w:rFonts w:eastAsia="Arial" w:cs="Arial"/>
                <w:color w:val="000000"/>
                <w:szCs w:val="22"/>
              </w:rPr>
              <w:t> </w:t>
            </w:r>
            <w:r w:rsidRPr="002606BD">
              <w:rPr>
                <w:rFonts w:eastAsia="Arial" w:cs="Arial"/>
                <w:color w:val="000000"/>
                <w:szCs w:val="22"/>
              </w:rPr>
              <w:t>4.4.1(f), earlier datums such as Geocentric Datum of Australia 1994</w:t>
            </w:r>
            <w:r>
              <w:rPr>
                <w:rFonts w:eastAsia="Arial" w:cs="Arial"/>
                <w:color w:val="000000"/>
                <w:szCs w:val="22"/>
              </w:rPr>
              <w:t> </w:t>
            </w:r>
            <w:r w:rsidRPr="002606BD">
              <w:rPr>
                <w:rFonts w:eastAsia="Arial" w:cs="Arial"/>
                <w:color w:val="000000"/>
                <w:szCs w:val="22"/>
              </w:rPr>
              <w:t>(GDA94) Australian Geodetic Datum 1984</w:t>
            </w:r>
            <w:r>
              <w:rPr>
                <w:rFonts w:eastAsia="Arial" w:cs="Arial"/>
                <w:color w:val="000000"/>
                <w:szCs w:val="22"/>
              </w:rPr>
              <w:t> </w:t>
            </w:r>
            <w:r w:rsidRPr="002606BD">
              <w:rPr>
                <w:rFonts w:eastAsia="Arial" w:cs="Arial"/>
                <w:color w:val="000000"/>
                <w:szCs w:val="22"/>
              </w:rPr>
              <w:t>(AGD84) and Australian Geodetic Datum 1966</w:t>
            </w:r>
            <w:r w:rsidR="00D945D8">
              <w:rPr>
                <w:rFonts w:eastAsia="Arial" w:cs="Arial"/>
                <w:color w:val="000000"/>
                <w:szCs w:val="22"/>
              </w:rPr>
              <w:t> </w:t>
            </w:r>
            <w:r w:rsidRPr="002606BD">
              <w:rPr>
                <w:rFonts w:eastAsia="Arial" w:cs="Arial"/>
                <w:color w:val="000000"/>
                <w:szCs w:val="22"/>
              </w:rPr>
              <w:t>(AGD66) are accepted based on prior approval by the Administrator or the department’s Director</w:t>
            </w:r>
            <w:r>
              <w:rPr>
                <w:rFonts w:eastAsia="Arial" w:cs="Arial"/>
                <w:color w:val="000000"/>
                <w:szCs w:val="22"/>
              </w:rPr>
              <w:t> </w:t>
            </w:r>
            <w:r w:rsidRPr="002606BD">
              <w:rPr>
                <w:rFonts w:eastAsia="Arial" w:cs="Arial"/>
                <w:color w:val="000000"/>
                <w:szCs w:val="22"/>
              </w:rPr>
              <w:t xml:space="preserve">(Geospatial Technologies). </w:t>
            </w:r>
          </w:p>
        </w:tc>
      </w:tr>
    </w:tbl>
    <w:p w14:paraId="54139F71" w14:textId="77777777" w:rsidR="00133AE0" w:rsidRPr="00DD32B1" w:rsidRDefault="00133AE0" w:rsidP="00DD32B1">
      <w:pPr>
        <w:pStyle w:val="BodyText"/>
        <w:spacing w:after="0" w:line="240" w:lineRule="auto"/>
        <w:rPr>
          <w:sz w:val="2"/>
          <w:szCs w:val="2"/>
        </w:rPr>
      </w:pPr>
    </w:p>
    <w:sectPr w:rsidR="00133AE0" w:rsidRPr="00DD32B1" w:rsidSect="00DD32B1">
      <w:headerReference w:type="default" r:id="rId12"/>
      <w:footerReference w:type="default" r:id="rId13"/>
      <w:pgSz w:w="11906" w:h="16838" w:code="9"/>
      <w:pgMar w:top="1418" w:right="1365"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3AE60" w14:textId="77777777" w:rsidR="002818D2" w:rsidRDefault="002818D2">
      <w:r>
        <w:separator/>
      </w:r>
    </w:p>
    <w:p w14:paraId="06957604" w14:textId="77777777" w:rsidR="002818D2" w:rsidRDefault="002818D2"/>
  </w:endnote>
  <w:endnote w:type="continuationSeparator" w:id="0">
    <w:p w14:paraId="747FECBE" w14:textId="77777777" w:rsidR="002818D2" w:rsidRDefault="002818D2">
      <w:r>
        <w:continuationSeparator/>
      </w:r>
    </w:p>
    <w:p w14:paraId="6AAA3A18" w14:textId="77777777" w:rsidR="002818D2" w:rsidRDefault="00281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A8589" w14:textId="4ABFDA88" w:rsidR="002818D2" w:rsidRDefault="002818D2" w:rsidP="00DD32B1">
    <w:pPr>
      <w:pStyle w:val="Footer"/>
      <w:tabs>
        <w:tab w:val="clear" w:pos="9540"/>
        <w:tab w:val="right" w:pos="9639"/>
      </w:tabs>
      <w:ind w:right="-516"/>
    </w:pPr>
    <w:r>
      <w:t>Transport Infrastructure Contract</w:t>
    </w:r>
    <w:r w:rsidR="00C833A5">
      <w:t> </w:t>
    </w:r>
    <w:r w:rsidR="002606BD">
      <w:t>–</w:t>
    </w:r>
    <w:r w:rsidR="00C833A5">
      <w:t> </w:t>
    </w:r>
    <w:r w:rsidR="002606BD">
      <w:t>Design and Construct</w:t>
    </w:r>
    <w:r>
      <w:t xml:space="preserve">, </w:t>
    </w:r>
    <w:r w:rsidRPr="00391457">
      <w:t>Trans</w:t>
    </w:r>
    <w:r>
      <w:t xml:space="preserve">port and Main Roads, </w:t>
    </w:r>
    <w:r w:rsidR="009B59F8">
      <w:t>July 2022</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C74CFC">
      <w:rPr>
        <w:rStyle w:val="PageNumber"/>
        <w:noProof/>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sidR="00C74CFC">
      <w:rPr>
        <w:rStyle w:val="PageNumber"/>
        <w:noProof/>
      </w:rPr>
      <w:t>1</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88B38" w14:textId="77777777" w:rsidR="002818D2" w:rsidRDefault="002818D2">
      <w:r>
        <w:separator/>
      </w:r>
    </w:p>
    <w:p w14:paraId="01619CAB" w14:textId="77777777" w:rsidR="002818D2" w:rsidRDefault="002818D2"/>
  </w:footnote>
  <w:footnote w:type="continuationSeparator" w:id="0">
    <w:p w14:paraId="31EF453B" w14:textId="77777777" w:rsidR="002818D2" w:rsidRDefault="002818D2">
      <w:r>
        <w:continuationSeparator/>
      </w:r>
    </w:p>
    <w:p w14:paraId="433FB905" w14:textId="77777777" w:rsidR="002818D2" w:rsidRDefault="00281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B0C4F" w14:textId="7F03AFE2" w:rsidR="002818D2" w:rsidRPr="007E6BE4" w:rsidRDefault="002818D2"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1A53497F" wp14:editId="083753A6">
          <wp:simplePos x="0" y="0"/>
          <wp:positionH relativeFrom="column">
            <wp:posOffset>3512820</wp:posOffset>
          </wp:positionH>
          <wp:positionV relativeFrom="paragraph">
            <wp:posOffset>-3810</wp:posOffset>
          </wp:positionV>
          <wp:extent cx="2257425" cy="390525"/>
          <wp:effectExtent l="0" t="0" r="952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Annexure</w:t>
    </w:r>
    <w:r w:rsidR="009A15A1">
      <w:rPr>
        <w:b/>
        <w:sz w:val="32"/>
        <w:szCs w:val="32"/>
      </w:rPr>
      <w:t> </w:t>
    </w:r>
    <w:r w:rsidR="000D71CF">
      <w:rPr>
        <w:b/>
        <w:sz w:val="32"/>
        <w:szCs w:val="32"/>
      </w:rPr>
      <w:t>C</w:t>
    </w:r>
    <w:r w:rsidR="009A15A1">
      <w:rPr>
        <w:b/>
        <w:sz w:val="32"/>
        <w:szCs w:val="32"/>
      </w:rPr>
      <w:t> </w:t>
    </w:r>
    <w:r>
      <w:rPr>
        <w:b/>
        <w:sz w:val="32"/>
        <w:szCs w:val="32"/>
      </w:rPr>
      <w:t>(C</w:t>
    </w:r>
    <w:r w:rsidR="000D71CF">
      <w:rPr>
        <w:b/>
        <w:sz w:val="32"/>
        <w:szCs w:val="32"/>
      </w:rPr>
      <w:t>ertification Functions of the Administrator</w:t>
    </w:r>
    <w:r>
      <w:rPr>
        <w:b/>
        <w:sz w:val="32"/>
        <w:szCs w:val="32"/>
      </w:rPr>
      <w:t>)</w:t>
    </w:r>
  </w:p>
  <w:p w14:paraId="5243F2E9" w14:textId="77777777" w:rsidR="002818D2" w:rsidRPr="007E6BE4" w:rsidRDefault="002818D2" w:rsidP="00C5054B">
    <w:pPr>
      <w:pStyle w:val="HeaderChapterpart"/>
      <w:rPr>
        <w:sz w:val="32"/>
        <w:szCs w:val="32"/>
      </w:rPr>
    </w:pPr>
    <w:r w:rsidRPr="003734E0">
      <w:rPr>
        <w:sz w:val="32"/>
        <w:szCs w:val="32"/>
      </w:rPr>
      <w:t>to the General Conditions of Contract</w:t>
    </w:r>
  </w:p>
  <w:p w14:paraId="13CAC80A" w14:textId="77777777" w:rsidR="002818D2" w:rsidRDefault="002818D2"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2818D2" w:rsidRPr="00125B5A" w14:paraId="56BF86C3" w14:textId="77777777" w:rsidTr="005D474C">
      <w:trPr>
        <w:trHeight w:val="340"/>
      </w:trPr>
      <w:tc>
        <w:tcPr>
          <w:tcW w:w="3936" w:type="dxa"/>
          <w:tcBorders>
            <w:top w:val="nil"/>
            <w:left w:val="nil"/>
            <w:bottom w:val="nil"/>
            <w:right w:val="single" w:sz="4" w:space="0" w:color="auto"/>
          </w:tcBorders>
          <w:shd w:val="clear" w:color="auto" w:fill="auto"/>
          <w:vAlign w:val="bottom"/>
        </w:tcPr>
        <w:p w14:paraId="6568D09E" w14:textId="07A7CDE7" w:rsidR="002818D2" w:rsidRPr="00133AE0" w:rsidRDefault="000D71CF" w:rsidP="003734E0">
          <w:pPr>
            <w:pStyle w:val="HeaderChapterpart"/>
            <w:keepNext/>
            <w:keepLines/>
            <w:pBdr>
              <w:bottom w:val="none" w:sz="0" w:space="0" w:color="auto"/>
            </w:pBdr>
            <w:ind w:right="0"/>
            <w:rPr>
              <w:b/>
              <w:sz w:val="22"/>
              <w:szCs w:val="22"/>
            </w:rPr>
          </w:pPr>
          <w:r>
            <w:rPr>
              <w:b/>
              <w:sz w:val="22"/>
              <w:szCs w:val="22"/>
            </w:rPr>
            <w:t>C7833</w:t>
          </w:r>
          <w:r w:rsidR="002606BD">
            <w:rPr>
              <w:b/>
              <w:sz w:val="22"/>
              <w:szCs w:val="22"/>
            </w:rPr>
            <w:t>.TIC.DC</w:t>
          </w:r>
        </w:p>
      </w:tc>
      <w:tc>
        <w:tcPr>
          <w:tcW w:w="2254" w:type="dxa"/>
          <w:tcBorders>
            <w:left w:val="single" w:sz="4" w:space="0" w:color="auto"/>
          </w:tcBorders>
          <w:shd w:val="clear" w:color="auto" w:fill="auto"/>
          <w:vAlign w:val="bottom"/>
        </w:tcPr>
        <w:p w14:paraId="011824F4" w14:textId="77777777" w:rsidR="002818D2" w:rsidRPr="00133AE0" w:rsidRDefault="002818D2"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164E592B" w14:textId="77777777" w:rsidR="002818D2" w:rsidRPr="00133AE0" w:rsidRDefault="002818D2" w:rsidP="00133AE0">
          <w:pPr>
            <w:pStyle w:val="HeaderChapterpart"/>
            <w:keepNext/>
            <w:keepLines/>
            <w:pBdr>
              <w:bottom w:val="none" w:sz="0" w:space="0" w:color="auto"/>
            </w:pBdr>
            <w:ind w:right="0"/>
            <w:rPr>
              <w:b/>
              <w:sz w:val="22"/>
              <w:szCs w:val="22"/>
            </w:rPr>
          </w:pPr>
        </w:p>
      </w:tc>
    </w:tr>
  </w:tbl>
  <w:p w14:paraId="0CA1B867" w14:textId="77777777" w:rsidR="002818D2" w:rsidRPr="00125B5A" w:rsidRDefault="002818D2" w:rsidP="00C5054B">
    <w:pPr>
      <w:pStyle w:val="HeaderChapterpart"/>
      <w:pBdr>
        <w:bottom w:val="none" w:sz="0" w:space="0" w:color="auto"/>
      </w:pBdr>
    </w:pPr>
  </w:p>
  <w:p w14:paraId="332C0336" w14:textId="77777777" w:rsidR="002818D2" w:rsidRPr="004D7425" w:rsidRDefault="002818D2"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0552D97"/>
    <w:multiLevelType w:val="multilevel"/>
    <w:tmpl w:val="B2B20138"/>
    <w:numStyleLink w:val="TableListAllLetter3level"/>
  </w:abstractNum>
  <w:abstractNum w:abstractNumId="6" w15:restartNumberingAfterBreak="0">
    <w:nsid w:val="1115067C"/>
    <w:multiLevelType w:val="multilevel"/>
    <w:tmpl w:val="5DAC17FA"/>
    <w:numStyleLink w:val="TableListSmallNumber"/>
  </w:abstractNum>
  <w:abstractNum w:abstractNumId="7" w15:restartNumberingAfterBreak="0">
    <w:nsid w:val="117E395C"/>
    <w:multiLevelType w:val="multilevel"/>
    <w:tmpl w:val="5DAC17FA"/>
    <w:numStyleLink w:val="TableListSmallNumber"/>
  </w:abstractNum>
  <w:abstractNum w:abstractNumId="8"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29957D23"/>
    <w:multiLevelType w:val="multilevel"/>
    <w:tmpl w:val="B2B20138"/>
    <w:numStyleLink w:val="TableListAllLetter3level"/>
  </w:abstractNum>
  <w:abstractNum w:abstractNumId="17"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717D11"/>
    <w:multiLevelType w:val="multilevel"/>
    <w:tmpl w:val="DC821EBC"/>
    <w:numStyleLink w:val="TableListAllBullets3Level"/>
  </w:abstractNum>
  <w:abstractNum w:abstractNumId="19" w15:restartNumberingAfterBreak="0">
    <w:nsid w:val="38B0774F"/>
    <w:multiLevelType w:val="multilevel"/>
    <w:tmpl w:val="620CC31C"/>
    <w:numStyleLink w:val="ListAllBullets3Level"/>
  </w:abstractNum>
  <w:abstractNum w:abstractNumId="2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6F0D8D"/>
    <w:multiLevelType w:val="multilevel"/>
    <w:tmpl w:val="B2B20138"/>
    <w:numStyleLink w:val="TableListAllLetter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9726A54"/>
    <w:multiLevelType w:val="multilevel"/>
    <w:tmpl w:val="DC821EBC"/>
    <w:numStyleLink w:val="TableListAllBullets3Level"/>
  </w:abstractNum>
  <w:abstractNum w:abstractNumId="27" w15:restartNumberingAfterBreak="0">
    <w:nsid w:val="4F830FDD"/>
    <w:multiLevelType w:val="multilevel"/>
    <w:tmpl w:val="AB2E9E82"/>
    <w:numStyleLink w:val="TableListSmallLetter"/>
  </w:abstractNum>
  <w:abstractNum w:abstractNumId="28" w15:restartNumberingAfterBreak="0">
    <w:nsid w:val="57582309"/>
    <w:multiLevelType w:val="multilevel"/>
    <w:tmpl w:val="620CC31C"/>
    <w:numStyleLink w:val="ListAllBullets3Level"/>
  </w:abstractNum>
  <w:abstractNum w:abstractNumId="29" w15:restartNumberingAfterBreak="0">
    <w:nsid w:val="57EF42BE"/>
    <w:multiLevelType w:val="multilevel"/>
    <w:tmpl w:val="B2B20138"/>
    <w:numStyleLink w:val="TableListAllLetter3level"/>
  </w:abstractNum>
  <w:abstractNum w:abstractNumId="30" w15:restartNumberingAfterBreak="0">
    <w:nsid w:val="587C617C"/>
    <w:multiLevelType w:val="multilevel"/>
    <w:tmpl w:val="5DAC17FA"/>
    <w:numStyleLink w:val="TableListSmallNumber"/>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665519E"/>
    <w:multiLevelType w:val="multilevel"/>
    <w:tmpl w:val="DC821EBC"/>
    <w:numStyleLink w:val="TableListAllBullets3Level"/>
  </w:abstractNum>
  <w:abstractNum w:abstractNumId="37" w15:restartNumberingAfterBreak="0">
    <w:nsid w:val="7A5F4FED"/>
    <w:multiLevelType w:val="multilevel"/>
    <w:tmpl w:val="168C5AE8"/>
    <w:numStyleLink w:val="ListAllLetter3Level"/>
  </w:abstractNum>
  <w:abstractNum w:abstractNumId="38" w15:restartNumberingAfterBreak="0">
    <w:nsid w:val="7CB15E02"/>
    <w:multiLevelType w:val="multilevel"/>
    <w:tmpl w:val="DC821EBC"/>
    <w:numStyleLink w:val="TableListAllBullets3Level"/>
  </w:abstractNum>
  <w:abstractNum w:abstractNumId="39"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FCB6A6B"/>
    <w:multiLevelType w:val="multilevel"/>
    <w:tmpl w:val="620CC31C"/>
    <w:numStyleLink w:val="ListAllBullets3Level"/>
  </w:abstractNum>
  <w:num w:numId="1">
    <w:abstractNumId w:val="10"/>
  </w:num>
  <w:num w:numId="2">
    <w:abstractNumId w:val="20"/>
  </w:num>
  <w:num w:numId="3">
    <w:abstractNumId w:val="31"/>
  </w:num>
  <w:num w:numId="4">
    <w:abstractNumId w:val="3"/>
  </w:num>
  <w:num w:numId="5">
    <w:abstractNumId w:val="14"/>
  </w:num>
  <w:num w:numId="6">
    <w:abstractNumId w:val="28"/>
  </w:num>
  <w:num w:numId="7">
    <w:abstractNumId w:val="13"/>
  </w:num>
  <w:num w:numId="8">
    <w:abstractNumId w:val="8"/>
  </w:num>
  <w:num w:numId="9">
    <w:abstractNumId w:val="39"/>
  </w:num>
  <w:num w:numId="10">
    <w:abstractNumId w:val="38"/>
  </w:num>
  <w:num w:numId="11">
    <w:abstractNumId w:val="21"/>
  </w:num>
  <w:num w:numId="12">
    <w:abstractNumId w:val="12"/>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4"/>
  </w:num>
  <w:num w:numId="17">
    <w:abstractNumId w:val="25"/>
  </w:num>
  <w:num w:numId="18">
    <w:abstractNumId w:val="0"/>
  </w:num>
  <w:num w:numId="19">
    <w:abstractNumId w:val="37"/>
  </w:num>
  <w:num w:numId="20">
    <w:abstractNumId w:val="40"/>
  </w:num>
  <w:num w:numId="21">
    <w:abstractNumId w:val="33"/>
  </w:num>
  <w:num w:numId="22">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5"/>
  </w:num>
  <w:num w:numId="24">
    <w:abstractNumId w:val="1"/>
  </w:num>
  <w:num w:numId="25">
    <w:abstractNumId w:val="24"/>
  </w:num>
  <w:num w:numId="26">
    <w:abstractNumId w:val="32"/>
  </w:num>
  <w:num w:numId="27">
    <w:abstractNumId w:val="11"/>
  </w:num>
  <w:num w:numId="28">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9"/>
  </w:num>
  <w:num w:numId="30">
    <w:abstractNumId w:val="27"/>
  </w:num>
  <w:num w:numId="31">
    <w:abstractNumId w:val="18"/>
  </w:num>
  <w:num w:numId="32">
    <w:abstractNumId w:val="2"/>
  </w:num>
  <w:num w:numId="33">
    <w:abstractNumId w:val="35"/>
  </w:num>
  <w:num w:numId="34">
    <w:abstractNumId w:val="26"/>
  </w:num>
  <w:num w:numId="35">
    <w:abstractNumId w:val="23"/>
  </w:num>
  <w:num w:numId="36">
    <w:abstractNumId w:val="30"/>
  </w:num>
  <w:num w:numId="37">
    <w:abstractNumId w:val="6"/>
  </w:num>
  <w:num w:numId="38">
    <w:abstractNumId w:val="7"/>
  </w:num>
  <w:num w:numId="39">
    <w:abstractNumId w:val="17"/>
  </w:num>
  <w:num w:numId="40">
    <w:abstractNumId w:val="16"/>
  </w:num>
  <w:num w:numId="41">
    <w:abstractNumId w:val="16"/>
    <w:lvlOverride w:ilvl="0">
      <w:lvl w:ilvl="0">
        <w:start w:val="1"/>
        <w:numFmt w:val="lowerLetter"/>
        <w:lvlText w:val="%1)"/>
        <w:lvlJc w:val="left"/>
        <w:pPr>
          <w:tabs>
            <w:tab w:val="num" w:pos="227"/>
          </w:tabs>
          <w:ind w:left="227" w:hanging="227"/>
        </w:pPr>
        <w:rPr>
          <w:rFonts w:ascii="Arial" w:hAnsi="Arial" w:hint="default"/>
          <w:sz w:val="20"/>
        </w:rPr>
      </w:lvl>
    </w:lvlOverride>
    <w:lvlOverride w:ilvl="1">
      <w:lvl w:ilvl="1">
        <w:start w:val="1"/>
        <w:numFmt w:val="lowerRoman"/>
        <w:lvlText w:val="%2."/>
        <w:lvlJc w:val="left"/>
        <w:pPr>
          <w:tabs>
            <w:tab w:val="num" w:pos="454"/>
          </w:tabs>
          <w:ind w:left="454" w:hanging="227"/>
        </w:pPr>
        <w:rPr>
          <w:rFonts w:hint="default"/>
          <w:sz w:val="20"/>
        </w:rPr>
      </w:lvl>
    </w:lvlOverride>
    <w:lvlOverride w:ilvl="2">
      <w:lvl w:ilvl="2">
        <w:start w:val="1"/>
        <w:numFmt w:val="upperLetter"/>
        <w:lvlText w:val="%3."/>
        <w:lvlJc w:val="left"/>
        <w:pPr>
          <w:tabs>
            <w:tab w:val="num" w:pos="680"/>
          </w:tabs>
          <w:ind w:left="680" w:hanging="226"/>
        </w:pPr>
        <w:rPr>
          <w:rFonts w:hint="default"/>
          <w:sz w:val="20"/>
        </w:rPr>
      </w:lvl>
    </w:lvlOverride>
    <w:lvlOverride w:ilvl="3">
      <w:lvl w:ilvl="3">
        <w:start w:val="1"/>
        <w:numFmt w:val="lowerRoman"/>
        <w:lvlText w:val="(%4)"/>
        <w:lvlJc w:val="left"/>
        <w:pPr>
          <w:tabs>
            <w:tab w:val="num" w:pos="907"/>
          </w:tabs>
          <w:ind w:left="907" w:hanging="227"/>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2">
    <w:abstractNumId w:val="36"/>
  </w:num>
  <w:num w:numId="4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C6EDE"/>
    <w:rsid w:val="000D0540"/>
    <w:rsid w:val="000D71CF"/>
    <w:rsid w:val="000E1CE3"/>
    <w:rsid w:val="000F0B07"/>
    <w:rsid w:val="0010528D"/>
    <w:rsid w:val="00115E98"/>
    <w:rsid w:val="00125B5A"/>
    <w:rsid w:val="00133AE0"/>
    <w:rsid w:val="00172FEB"/>
    <w:rsid w:val="00176CC5"/>
    <w:rsid w:val="001A4752"/>
    <w:rsid w:val="001A697D"/>
    <w:rsid w:val="001B1393"/>
    <w:rsid w:val="001C6957"/>
    <w:rsid w:val="001C6D5F"/>
    <w:rsid w:val="001D6B75"/>
    <w:rsid w:val="001E3E78"/>
    <w:rsid w:val="001F2035"/>
    <w:rsid w:val="00216756"/>
    <w:rsid w:val="00216F79"/>
    <w:rsid w:val="00217457"/>
    <w:rsid w:val="00230983"/>
    <w:rsid w:val="00231903"/>
    <w:rsid w:val="00232573"/>
    <w:rsid w:val="00234B98"/>
    <w:rsid w:val="002405CD"/>
    <w:rsid w:val="002407FF"/>
    <w:rsid w:val="002606BD"/>
    <w:rsid w:val="002669B1"/>
    <w:rsid w:val="00271868"/>
    <w:rsid w:val="002738CB"/>
    <w:rsid w:val="00273C11"/>
    <w:rsid w:val="00277E0F"/>
    <w:rsid w:val="002818D2"/>
    <w:rsid w:val="002827E1"/>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34E0"/>
    <w:rsid w:val="00376A0A"/>
    <w:rsid w:val="00383A3B"/>
    <w:rsid w:val="00391457"/>
    <w:rsid w:val="003960ED"/>
    <w:rsid w:val="003A5033"/>
    <w:rsid w:val="003C340E"/>
    <w:rsid w:val="003D1729"/>
    <w:rsid w:val="003E0E9D"/>
    <w:rsid w:val="003E3C82"/>
    <w:rsid w:val="003F1461"/>
    <w:rsid w:val="00400CF8"/>
    <w:rsid w:val="004030EB"/>
    <w:rsid w:val="00403422"/>
    <w:rsid w:val="004525EA"/>
    <w:rsid w:val="00456933"/>
    <w:rsid w:val="00456A07"/>
    <w:rsid w:val="00477792"/>
    <w:rsid w:val="00495AED"/>
    <w:rsid w:val="004D7425"/>
    <w:rsid w:val="004E3F40"/>
    <w:rsid w:val="004E49B7"/>
    <w:rsid w:val="004F4085"/>
    <w:rsid w:val="00501027"/>
    <w:rsid w:val="00521D18"/>
    <w:rsid w:val="005233EF"/>
    <w:rsid w:val="00526282"/>
    <w:rsid w:val="00530265"/>
    <w:rsid w:val="005424A4"/>
    <w:rsid w:val="005477A1"/>
    <w:rsid w:val="00556E72"/>
    <w:rsid w:val="00570A80"/>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0B8D"/>
    <w:rsid w:val="00676214"/>
    <w:rsid w:val="00686875"/>
    <w:rsid w:val="006A6908"/>
    <w:rsid w:val="006C2B1A"/>
    <w:rsid w:val="006D2668"/>
    <w:rsid w:val="006D2FDF"/>
    <w:rsid w:val="006D52CB"/>
    <w:rsid w:val="006D553A"/>
    <w:rsid w:val="00723F1A"/>
    <w:rsid w:val="00730C95"/>
    <w:rsid w:val="007462A6"/>
    <w:rsid w:val="00750B91"/>
    <w:rsid w:val="00760164"/>
    <w:rsid w:val="007672DC"/>
    <w:rsid w:val="0077261D"/>
    <w:rsid w:val="00785550"/>
    <w:rsid w:val="00793FA9"/>
    <w:rsid w:val="00796D7D"/>
    <w:rsid w:val="007C4319"/>
    <w:rsid w:val="007D0963"/>
    <w:rsid w:val="007D3361"/>
    <w:rsid w:val="007D76AC"/>
    <w:rsid w:val="007E6BE4"/>
    <w:rsid w:val="00811807"/>
    <w:rsid w:val="008807C8"/>
    <w:rsid w:val="008843E8"/>
    <w:rsid w:val="008861E4"/>
    <w:rsid w:val="008A19A0"/>
    <w:rsid w:val="008B00CE"/>
    <w:rsid w:val="008B0428"/>
    <w:rsid w:val="008B0AB1"/>
    <w:rsid w:val="008B16C3"/>
    <w:rsid w:val="008B3748"/>
    <w:rsid w:val="008B61BF"/>
    <w:rsid w:val="008D02E2"/>
    <w:rsid w:val="008D2533"/>
    <w:rsid w:val="008F0EBB"/>
    <w:rsid w:val="008F36D9"/>
    <w:rsid w:val="008F47F2"/>
    <w:rsid w:val="00904118"/>
    <w:rsid w:val="0091452E"/>
    <w:rsid w:val="00926AFF"/>
    <w:rsid w:val="00940C46"/>
    <w:rsid w:val="00944A3A"/>
    <w:rsid w:val="00945942"/>
    <w:rsid w:val="00957CF5"/>
    <w:rsid w:val="0098641F"/>
    <w:rsid w:val="00996C59"/>
    <w:rsid w:val="009A030F"/>
    <w:rsid w:val="009A15A1"/>
    <w:rsid w:val="009A353C"/>
    <w:rsid w:val="009A671A"/>
    <w:rsid w:val="009B1D89"/>
    <w:rsid w:val="009B39D2"/>
    <w:rsid w:val="009B59F8"/>
    <w:rsid w:val="009B6FF8"/>
    <w:rsid w:val="009E22DF"/>
    <w:rsid w:val="009E5C89"/>
    <w:rsid w:val="00A00F46"/>
    <w:rsid w:val="00A12D4E"/>
    <w:rsid w:val="00A20805"/>
    <w:rsid w:val="00A20B17"/>
    <w:rsid w:val="00A27877"/>
    <w:rsid w:val="00A52AB4"/>
    <w:rsid w:val="00A832D7"/>
    <w:rsid w:val="00A9555C"/>
    <w:rsid w:val="00AA092D"/>
    <w:rsid w:val="00AA18F5"/>
    <w:rsid w:val="00AA6B2F"/>
    <w:rsid w:val="00AA7630"/>
    <w:rsid w:val="00AA7C6C"/>
    <w:rsid w:val="00AB5329"/>
    <w:rsid w:val="00AC154D"/>
    <w:rsid w:val="00AC4DD9"/>
    <w:rsid w:val="00AC5414"/>
    <w:rsid w:val="00AC73B6"/>
    <w:rsid w:val="00AD4D04"/>
    <w:rsid w:val="00AD7634"/>
    <w:rsid w:val="00AE06C1"/>
    <w:rsid w:val="00AE43B4"/>
    <w:rsid w:val="00AE72A9"/>
    <w:rsid w:val="00AE78C4"/>
    <w:rsid w:val="00AF7DD6"/>
    <w:rsid w:val="00B4064C"/>
    <w:rsid w:val="00B66E69"/>
    <w:rsid w:val="00B705E6"/>
    <w:rsid w:val="00B712C5"/>
    <w:rsid w:val="00B8333F"/>
    <w:rsid w:val="00B8519F"/>
    <w:rsid w:val="00B9515A"/>
    <w:rsid w:val="00BB09C2"/>
    <w:rsid w:val="00BB468F"/>
    <w:rsid w:val="00BC17C8"/>
    <w:rsid w:val="00BC3ED2"/>
    <w:rsid w:val="00BC68B8"/>
    <w:rsid w:val="00BD257C"/>
    <w:rsid w:val="00BD5378"/>
    <w:rsid w:val="00BE327E"/>
    <w:rsid w:val="00BE4F17"/>
    <w:rsid w:val="00BE6F04"/>
    <w:rsid w:val="00BF0295"/>
    <w:rsid w:val="00BF2FA5"/>
    <w:rsid w:val="00BF373B"/>
    <w:rsid w:val="00BF7B37"/>
    <w:rsid w:val="00C23878"/>
    <w:rsid w:val="00C33EEE"/>
    <w:rsid w:val="00C34106"/>
    <w:rsid w:val="00C34247"/>
    <w:rsid w:val="00C352F9"/>
    <w:rsid w:val="00C50278"/>
    <w:rsid w:val="00C5054B"/>
    <w:rsid w:val="00C63013"/>
    <w:rsid w:val="00C74CFC"/>
    <w:rsid w:val="00C76378"/>
    <w:rsid w:val="00C81006"/>
    <w:rsid w:val="00C833A5"/>
    <w:rsid w:val="00C83B53"/>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945D8"/>
    <w:rsid w:val="00DA20DD"/>
    <w:rsid w:val="00DC076F"/>
    <w:rsid w:val="00DC376C"/>
    <w:rsid w:val="00DD32B1"/>
    <w:rsid w:val="00DE56ED"/>
    <w:rsid w:val="00DF1C54"/>
    <w:rsid w:val="00DF27E0"/>
    <w:rsid w:val="00DF40B1"/>
    <w:rsid w:val="00E561F8"/>
    <w:rsid w:val="00E57C45"/>
    <w:rsid w:val="00E70EA9"/>
    <w:rsid w:val="00E8162F"/>
    <w:rsid w:val="00E84619"/>
    <w:rsid w:val="00E91A1B"/>
    <w:rsid w:val="00E96F32"/>
    <w:rsid w:val="00EA319A"/>
    <w:rsid w:val="00EC0517"/>
    <w:rsid w:val="00ED06E5"/>
    <w:rsid w:val="00ED5C9C"/>
    <w:rsid w:val="00EE3AA3"/>
    <w:rsid w:val="00EF2FDD"/>
    <w:rsid w:val="00F15554"/>
    <w:rsid w:val="00F1791D"/>
    <w:rsid w:val="00F30D7C"/>
    <w:rsid w:val="00F322FA"/>
    <w:rsid w:val="00F44BA4"/>
    <w:rsid w:val="00F45A8D"/>
    <w:rsid w:val="00F64B7F"/>
    <w:rsid w:val="00F70E96"/>
    <w:rsid w:val="00F87D4E"/>
    <w:rsid w:val="00FA0A4D"/>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3EA415F"/>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customStyle="1" w:styleId="Table10pt">
    <w:name w:val="Table 10pt"/>
    <w:basedOn w:val="Normal"/>
    <w:qFormat/>
    <w:rsid w:val="003734E0"/>
    <w:pPr>
      <w:spacing w:before="100" w:after="100" w:line="240" w:lineRule="auto"/>
    </w:pPr>
    <w:rPr>
      <w:rFonts w:ascii="Times New Roman" w:hAnsi="Times New Roman"/>
      <w:szCs w:val="20"/>
      <w:lang w:val="en-US" w:eastAsia="en-US"/>
    </w:rPr>
  </w:style>
  <w:style w:type="table" w:customStyle="1" w:styleId="TableGrid0">
    <w:name w:val="TableGrid"/>
    <w:rsid w:val="002606B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3EE29-EAD6-4BC9-8165-109BD7B7F3BF}">
  <ds:schemaRefs>
    <ds:schemaRef ds:uri="http://schemas.openxmlformats.org/officeDocument/2006/bibliography"/>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2566C-65BA-4499-A9E2-2EFE7455FA4D}">
  <ds:schemaRefs>
    <ds:schemaRef ds:uri="http://purl.org/dc/elements/1.1/"/>
    <ds:schemaRef ds:uri="http://schemas.microsoft.com/office/infopath/2007/PartnerControls"/>
    <ds:schemaRef ds:uri="http://schemas.microsoft.com/office/2006/documentManagement/types"/>
    <ds:schemaRef ds:uri="http://purl.org/dc/dcmitype/"/>
    <ds:schemaRef ds:uri="ec972935-d489-4a83-af2a-c34816ed2832"/>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22</TotalTime>
  <Pages>2</Pages>
  <Words>809</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C7820 -  Annexure C Properties</vt:lpstr>
    </vt:vector>
  </TitlesOfParts>
  <Company>Department of Transport and Main Roads</Company>
  <LinksUpToDate>false</LinksUpToDate>
  <CharactersWithSpaces>5402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C7820 -  Annexure C Properties</dc:title>
  <dc:subject>Transport Infrastructure Contract - Construct Only</dc:subject>
  <dc:creator>Department of Transport and Main Roads</dc:creator>
  <cp:keywords>contract, construct only, TIC, CO</cp:keywords>
  <dc:description/>
  <cp:lastModifiedBy>Lisa-April X Mullan</cp:lastModifiedBy>
  <cp:revision>15</cp:revision>
  <cp:lastPrinted>2013-06-20T03:17:00Z</cp:lastPrinted>
  <dcterms:created xsi:type="dcterms:W3CDTF">2015-09-25T01:43:00Z</dcterms:created>
  <dcterms:modified xsi:type="dcterms:W3CDTF">2022-07-01T00:14:00Z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