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  <w:gridCol w:w="1984"/>
        <w:gridCol w:w="1523"/>
      </w:tblGrid>
      <w:tr w:rsidR="00685152" w:rsidTr="00685152">
        <w:tc>
          <w:tcPr>
            <w:tcW w:w="10485" w:type="dxa"/>
            <w:vMerge w:val="restart"/>
          </w:tcPr>
          <w:p w:rsidR="00685152" w:rsidRPr="00825E2A" w:rsidRDefault="00685152" w:rsidP="00685152">
            <w:pPr>
              <w:rPr>
                <w:rStyle w:val="BodyTextbold"/>
              </w:rPr>
            </w:pPr>
            <w:r w:rsidRPr="00685152">
              <w:rPr>
                <w:rStyle w:val="BodyTextbold"/>
                <w:sz w:val="28"/>
              </w:rPr>
              <w:t>Form: RAMC Environmental Audit Checklist</w:t>
            </w:r>
          </w:p>
        </w:tc>
        <w:tc>
          <w:tcPr>
            <w:tcW w:w="1984" w:type="dxa"/>
          </w:tcPr>
          <w:p w:rsidR="00685152" w:rsidRPr="00825E2A" w:rsidRDefault="00685152" w:rsidP="00A36B59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</w:t>
            </w:r>
            <w:r>
              <w:rPr>
                <w:rStyle w:val="BodyTextbold"/>
              </w:rPr>
              <w:t>sion</w:t>
            </w:r>
            <w:r w:rsidRPr="00825E2A">
              <w:rPr>
                <w:rStyle w:val="BodyTextbold"/>
              </w:rPr>
              <w:t xml:space="preserve"> N</w:t>
            </w:r>
            <w:r>
              <w:rPr>
                <w:rStyle w:val="BodyTextbold"/>
              </w:rPr>
              <w:t>umber:</w:t>
            </w:r>
          </w:p>
        </w:tc>
        <w:tc>
          <w:tcPr>
            <w:tcW w:w="1523" w:type="dxa"/>
          </w:tcPr>
          <w:p w:rsidR="00685152" w:rsidRPr="00825E2A" w:rsidRDefault="00685152" w:rsidP="00A36B59">
            <w:pPr>
              <w:rPr>
                <w:rStyle w:val="BodyTextbold"/>
              </w:rPr>
            </w:pPr>
            <w:r>
              <w:rPr>
                <w:rStyle w:val="BodyTextbold"/>
              </w:rPr>
              <w:t>2</w:t>
            </w:r>
          </w:p>
        </w:tc>
      </w:tr>
      <w:tr w:rsidR="00685152" w:rsidTr="00685152">
        <w:tc>
          <w:tcPr>
            <w:tcW w:w="10485" w:type="dxa"/>
            <w:vMerge/>
          </w:tcPr>
          <w:p w:rsidR="00685152" w:rsidRPr="00825E2A" w:rsidRDefault="00685152" w:rsidP="00A36B59">
            <w:pPr>
              <w:rPr>
                <w:rStyle w:val="BodyTextbold"/>
              </w:rPr>
            </w:pPr>
          </w:p>
        </w:tc>
        <w:tc>
          <w:tcPr>
            <w:tcW w:w="1984" w:type="dxa"/>
          </w:tcPr>
          <w:p w:rsidR="00685152" w:rsidRPr="00825E2A" w:rsidRDefault="00685152" w:rsidP="00A36B59">
            <w:pPr>
              <w:rPr>
                <w:rStyle w:val="BodyTextbold"/>
              </w:rPr>
            </w:pPr>
            <w:r>
              <w:rPr>
                <w:rStyle w:val="BodyTextbold"/>
              </w:rPr>
              <w:t>Effective Date:</w:t>
            </w:r>
          </w:p>
        </w:tc>
        <w:tc>
          <w:tcPr>
            <w:tcW w:w="1523" w:type="dxa"/>
          </w:tcPr>
          <w:p w:rsidR="00685152" w:rsidRPr="00825E2A" w:rsidRDefault="003722D9" w:rsidP="00A36B59">
            <w:pPr>
              <w:rPr>
                <w:rStyle w:val="BodyTextbold"/>
              </w:rPr>
            </w:pPr>
            <w:r>
              <w:rPr>
                <w:rStyle w:val="BodyTextbold"/>
              </w:rPr>
              <w:t>15.01.2020</w:t>
            </w:r>
          </w:p>
        </w:tc>
      </w:tr>
    </w:tbl>
    <w:p w:rsidR="00CD30F9" w:rsidRDefault="00CD30F9" w:rsidP="00D7178D">
      <w:pPr>
        <w:pStyle w:val="HeadingPartChapter"/>
        <w:spacing w:after="0" w:line="240" w:lineRule="auto"/>
      </w:pPr>
    </w:p>
    <w:p w:rsidR="00D7178D" w:rsidRPr="003856DA" w:rsidRDefault="00D7178D" w:rsidP="00D7178D">
      <w:pPr>
        <w:pStyle w:val="IntenseQuote"/>
      </w:pPr>
      <w:r w:rsidRPr="00425722">
        <w:t xml:space="preserve">NOTE: This checklist applies to Road Asset Management Contracts (RAMC). As the RAMC conditions require compliance with MRTS51 </w:t>
      </w:r>
      <w:bookmarkStart w:id="0" w:name="_GoBack"/>
      <w:bookmarkEnd w:id="0"/>
      <w:r w:rsidRPr="00425722">
        <w:t xml:space="preserve">and MRTS52 in some cases, </w:t>
      </w:r>
      <w:r w:rsidRPr="00D7178D">
        <w:rPr>
          <w:b/>
        </w:rPr>
        <w:t>the relevant clauses</w:t>
      </w:r>
      <w:r w:rsidRPr="00D7178D">
        <w:t xml:space="preserve"> </w:t>
      </w:r>
      <w:r w:rsidRPr="00425722">
        <w:t xml:space="preserve">have been </w:t>
      </w:r>
      <w:r>
        <w:t>referred to or included</w:t>
      </w:r>
      <w:r w:rsidRPr="00425722">
        <w:t xml:space="preserve"> within the checklist</w:t>
      </w:r>
      <w:r>
        <w:t xml:space="preserve"> where necessary.</w:t>
      </w:r>
    </w:p>
    <w:p w:rsidR="00D7178D" w:rsidRPr="00D7178D" w:rsidRDefault="00D7178D" w:rsidP="00D7178D">
      <w:pPr>
        <w:pStyle w:val="BodyText"/>
        <w:rPr>
          <w:b/>
        </w:rPr>
      </w:pPr>
      <w:r w:rsidRPr="00D7178D">
        <w:rPr>
          <w:b/>
        </w:rPr>
        <w:t>Purpose:</w:t>
      </w:r>
    </w:p>
    <w:p w:rsidR="00D7178D" w:rsidRPr="00D7178D" w:rsidRDefault="00D7178D" w:rsidP="00D7178D">
      <w:pPr>
        <w:pStyle w:val="BodyText"/>
        <w:spacing w:after="360"/>
        <w:rPr>
          <w:b/>
        </w:rPr>
      </w:pPr>
      <w:r w:rsidRPr="00D7178D">
        <w:t>This RAMC Environmental Management Plan – Maintenance (EMP -M) Audit Checklist is to assist the Principal in reviewing the implementation of the Contractor’s EMP (M). The EMP (M) must be consistent with RAMC Appendix L: Environmental and Cultural Heritage Management, the General Conditions of Contract (</w:t>
      </w:r>
      <w:proofErr w:type="spellStart"/>
      <w:r w:rsidRPr="00D7178D">
        <w:t>GCoC</w:t>
      </w:r>
      <w:proofErr w:type="spellEnd"/>
      <w:r w:rsidRPr="00D7178D">
        <w:t>) and Appendix D: Detailed Requirements for Contract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134"/>
        <w:gridCol w:w="1776"/>
        <w:gridCol w:w="1361"/>
        <w:gridCol w:w="2933"/>
        <w:gridCol w:w="1388"/>
        <w:gridCol w:w="1436"/>
      </w:tblGrid>
      <w:tr w:rsidR="00D7178D" w:rsidTr="00685152">
        <w:tc>
          <w:tcPr>
            <w:tcW w:w="1696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5178" w:type="dxa"/>
            <w:gridSpan w:val="3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Date</w:t>
            </w:r>
          </w:p>
        </w:tc>
        <w:tc>
          <w:tcPr>
            <w:tcW w:w="2933" w:type="dxa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1436" w:type="dxa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</w:tr>
      <w:tr w:rsidR="00685152" w:rsidTr="00685152">
        <w:tc>
          <w:tcPr>
            <w:tcW w:w="1696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2268" w:type="dxa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Contract Area</w:t>
            </w:r>
          </w:p>
        </w:tc>
        <w:tc>
          <w:tcPr>
            <w:tcW w:w="1776" w:type="dxa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Auditor</w:t>
            </w:r>
          </w:p>
        </w:tc>
        <w:tc>
          <w:tcPr>
            <w:tcW w:w="5757" w:type="dxa"/>
            <w:gridSpan w:val="3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</w:tr>
      <w:tr w:rsidR="00685152" w:rsidTr="00685152">
        <w:tc>
          <w:tcPr>
            <w:tcW w:w="1696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TMR Project Manager / Area Engineer</w:t>
            </w:r>
          </w:p>
        </w:tc>
        <w:tc>
          <w:tcPr>
            <w:tcW w:w="5178" w:type="dxa"/>
            <w:gridSpan w:val="3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Participants</w:t>
            </w:r>
          </w:p>
        </w:tc>
        <w:tc>
          <w:tcPr>
            <w:tcW w:w="5757" w:type="dxa"/>
            <w:gridSpan w:val="3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</w:tr>
      <w:tr w:rsidR="00685152" w:rsidTr="00685152">
        <w:tc>
          <w:tcPr>
            <w:tcW w:w="1696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Scope of Audit</w:t>
            </w:r>
          </w:p>
        </w:tc>
        <w:tc>
          <w:tcPr>
            <w:tcW w:w="5178" w:type="dxa"/>
            <w:gridSpan w:val="3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  <w:tc>
          <w:tcPr>
            <w:tcW w:w="1361" w:type="dxa"/>
            <w:shd w:val="clear" w:color="auto" w:fill="F2F2F2" w:themeFill="background1" w:themeFillShade="F2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Location</w:t>
            </w:r>
          </w:p>
        </w:tc>
        <w:tc>
          <w:tcPr>
            <w:tcW w:w="5757" w:type="dxa"/>
            <w:gridSpan w:val="3"/>
          </w:tcPr>
          <w:p w:rsidR="00685152" w:rsidRPr="00825E2A" w:rsidRDefault="00685152" w:rsidP="00D7178D">
            <w:pPr>
              <w:keepNext w:val="0"/>
              <w:keepLines w:val="0"/>
              <w:widowControl w:val="0"/>
              <w:rPr>
                <w:rStyle w:val="BodyTextbold"/>
              </w:rPr>
            </w:pPr>
          </w:p>
        </w:tc>
      </w:tr>
    </w:tbl>
    <w:p w:rsidR="00627391" w:rsidRDefault="00627391" w:rsidP="00D7178D">
      <w:pPr>
        <w:widowControl w:val="0"/>
      </w:pPr>
    </w:p>
    <w:p w:rsidR="00D7178D" w:rsidRDefault="00D7178D" w:rsidP="00D7178D">
      <w:pPr>
        <w:widowControl w:val="0"/>
        <w:sectPr w:rsidR="00D7178D" w:rsidSect="00D7178D">
          <w:headerReference w:type="default" r:id="rId12"/>
          <w:footerReference w:type="default" r:id="rId13"/>
          <w:headerReference w:type="first" r:id="rId14"/>
          <w:pgSz w:w="16838" w:h="11906" w:orient="landscape" w:code="9"/>
          <w:pgMar w:top="2127" w:right="1418" w:bottom="1418" w:left="1418" w:header="454" w:footer="454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D934C0" w:rsidTr="00C24F6C">
        <w:tc>
          <w:tcPr>
            <w:tcW w:w="2798" w:type="dxa"/>
          </w:tcPr>
          <w:p w:rsidR="00D934C0" w:rsidRPr="00C24F6C" w:rsidRDefault="00D934C0" w:rsidP="00CD69CA">
            <w:pPr>
              <w:widowControl w:val="0"/>
              <w:rPr>
                <w:b/>
              </w:rPr>
            </w:pPr>
            <w:r w:rsidRPr="00C24F6C">
              <w:rPr>
                <w:b/>
              </w:rPr>
              <w:lastRenderedPageBreak/>
              <w:t>Legend:</w:t>
            </w:r>
          </w:p>
        </w:tc>
        <w:tc>
          <w:tcPr>
            <w:tcW w:w="2798" w:type="dxa"/>
          </w:tcPr>
          <w:p w:rsidR="00D934C0" w:rsidRDefault="00D934C0" w:rsidP="00CD69CA">
            <w:pPr>
              <w:widowControl w:val="0"/>
            </w:pPr>
            <w:r w:rsidRPr="00C24F6C">
              <w:rPr>
                <w:b/>
              </w:rPr>
              <w:t>C</w:t>
            </w:r>
            <w:r>
              <w:t xml:space="preserve">   Conformance</w:t>
            </w:r>
          </w:p>
        </w:tc>
        <w:tc>
          <w:tcPr>
            <w:tcW w:w="2798" w:type="dxa"/>
          </w:tcPr>
          <w:p w:rsidR="00D934C0" w:rsidRDefault="00D934C0" w:rsidP="00CD69CA">
            <w:pPr>
              <w:widowControl w:val="0"/>
            </w:pPr>
            <w:r w:rsidRPr="00C24F6C">
              <w:rPr>
                <w:b/>
              </w:rPr>
              <w:t>NC</w:t>
            </w:r>
            <w:r>
              <w:t xml:space="preserve">   Non-conformance</w:t>
            </w:r>
          </w:p>
        </w:tc>
        <w:tc>
          <w:tcPr>
            <w:tcW w:w="2799" w:type="dxa"/>
          </w:tcPr>
          <w:p w:rsidR="00D934C0" w:rsidRDefault="00D934C0" w:rsidP="00CD69CA">
            <w:pPr>
              <w:widowControl w:val="0"/>
            </w:pPr>
            <w:r w:rsidRPr="00C24F6C">
              <w:rPr>
                <w:b/>
              </w:rPr>
              <w:t>NFV</w:t>
            </w:r>
            <w:r>
              <w:t xml:space="preserve">   Not Fully Verifiable</w:t>
            </w:r>
          </w:p>
        </w:tc>
        <w:tc>
          <w:tcPr>
            <w:tcW w:w="2799" w:type="dxa"/>
          </w:tcPr>
          <w:p w:rsidR="00D934C0" w:rsidRDefault="00D934C0" w:rsidP="00CD69CA">
            <w:pPr>
              <w:widowControl w:val="0"/>
            </w:pPr>
            <w:r w:rsidRPr="00C24F6C">
              <w:rPr>
                <w:b/>
              </w:rPr>
              <w:t>O</w:t>
            </w:r>
            <w:r>
              <w:t xml:space="preserve">   Observation</w:t>
            </w:r>
          </w:p>
        </w:tc>
      </w:tr>
    </w:tbl>
    <w:p w:rsidR="00D7178D" w:rsidRDefault="00D7178D" w:rsidP="00D7178D">
      <w:pPr>
        <w:widowControl w:val="0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1701"/>
        <w:gridCol w:w="5061"/>
      </w:tblGrid>
      <w:tr w:rsidR="00107514" w:rsidTr="00714DC2">
        <w:trPr>
          <w:tblHeader/>
        </w:trPr>
        <w:tc>
          <w:tcPr>
            <w:tcW w:w="1276" w:type="dxa"/>
            <w:shd w:val="clear" w:color="auto" w:fill="D9D9D9" w:themeFill="background1" w:themeFillShade="D9"/>
            <w:vAlign w:val="top"/>
          </w:tcPr>
          <w:p w:rsidR="00107514" w:rsidRDefault="00107514" w:rsidP="002D73C5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Reference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top"/>
          </w:tcPr>
          <w:p w:rsidR="00107514" w:rsidRDefault="00107514" w:rsidP="002D73C5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Requirements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top"/>
          </w:tcPr>
          <w:p w:rsidR="00107514" w:rsidRDefault="00107514" w:rsidP="002D73C5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Addressed</w:t>
            </w:r>
          </w:p>
        </w:tc>
        <w:tc>
          <w:tcPr>
            <w:tcW w:w="5061" w:type="dxa"/>
            <w:shd w:val="clear" w:color="auto" w:fill="D9D9D9" w:themeFill="background1" w:themeFillShade="D9"/>
            <w:vAlign w:val="top"/>
          </w:tcPr>
          <w:p w:rsidR="00107514" w:rsidRDefault="00107514" w:rsidP="002D73C5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Comments/Observations</w:t>
            </w:r>
          </w:p>
        </w:tc>
      </w:tr>
      <w:tr w:rsidR="00554B3A" w:rsidTr="00EC3532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554B3A" w:rsidRDefault="00EC3532" w:rsidP="002D73C5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 xml:space="preserve">RAMC </w:t>
            </w:r>
            <w:proofErr w:type="spellStart"/>
            <w:r>
              <w:t>GCoC</w:t>
            </w:r>
            <w:proofErr w:type="spellEnd"/>
          </w:p>
        </w:tc>
      </w:tr>
      <w:tr w:rsidR="00714DC2" w:rsidTr="00714DC2">
        <w:tc>
          <w:tcPr>
            <w:tcW w:w="1276" w:type="dxa"/>
            <w:vAlign w:val="top"/>
          </w:tcPr>
          <w:p w:rsidR="00714DC2" w:rsidRPr="00350F81" w:rsidRDefault="00714DC2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</w:t>
            </w:r>
            <w:r>
              <w:t> </w:t>
            </w:r>
            <w:r w:rsidRPr="00350F81">
              <w:t>13.1 &amp; 13.5</w:t>
            </w:r>
          </w:p>
        </w:tc>
        <w:tc>
          <w:tcPr>
            <w:tcW w:w="5954" w:type="dxa"/>
            <w:vAlign w:val="top"/>
          </w:tcPr>
          <w:p w:rsidR="00714DC2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84107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DC2" w:rsidRPr="00350F81">
              <w:t xml:space="preserve">  The Contractor provided an EMP (M) which forms part of the Contract Plan, and all documentation, access and assistance necessary for audit.</w:t>
            </w:r>
          </w:p>
        </w:tc>
        <w:tc>
          <w:tcPr>
            <w:tcW w:w="1701" w:type="dxa"/>
            <w:vAlign w:val="top"/>
          </w:tcPr>
          <w:p w:rsidR="00714DC2" w:rsidRDefault="00714DC2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714DC2" w:rsidRDefault="00714DC2" w:rsidP="002D73C5">
            <w:pPr>
              <w:pStyle w:val="Bulletedlist"/>
              <w:keepNext w:val="0"/>
              <w:keepLines w:val="0"/>
              <w:widowControl w:val="0"/>
              <w:numPr>
                <w:ilvl w:val="0"/>
                <w:numId w:val="0"/>
              </w:numPr>
              <w:ind w:left="322" w:hanging="283"/>
            </w:pPr>
          </w:p>
        </w:tc>
      </w:tr>
      <w:tr w:rsidR="00714DC2" w:rsidTr="00714DC2">
        <w:tc>
          <w:tcPr>
            <w:tcW w:w="1276" w:type="dxa"/>
            <w:vAlign w:val="top"/>
          </w:tcPr>
          <w:p w:rsidR="00714DC2" w:rsidRPr="00350F81" w:rsidRDefault="00714DC2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</w:t>
            </w:r>
            <w:r>
              <w:t> </w:t>
            </w:r>
            <w:r w:rsidRPr="00350F81">
              <w:t>31.1</w:t>
            </w:r>
          </w:p>
        </w:tc>
        <w:tc>
          <w:tcPr>
            <w:tcW w:w="5954" w:type="dxa"/>
            <w:vAlign w:val="top"/>
          </w:tcPr>
          <w:p w:rsidR="00714DC2" w:rsidRPr="00350F81" w:rsidRDefault="00714DC2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 provided evidence of:</w:t>
            </w:r>
          </w:p>
          <w:p w:rsidR="00714DC2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5660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implementation and maintenance measures to preserve and protect the natural environment (including the protection of cultural heritage) on and adjacent to a Site,</w:t>
            </w:r>
          </w:p>
          <w:p w:rsidR="00714DC2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37365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paid all penalties, costs and expenses incurred by the Contractor,</w:t>
            </w:r>
          </w:p>
          <w:p w:rsidR="00714DC2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4990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implemented all applicable environment protection measures prior to proceeding with any relevant work under the Contract,</w:t>
            </w:r>
          </w:p>
          <w:p w:rsidR="00714DC2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16786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promptly notify the Principal's representative in writing of any breach or likely breach of this Clause 31.</w:t>
            </w:r>
          </w:p>
        </w:tc>
        <w:tc>
          <w:tcPr>
            <w:tcW w:w="1701" w:type="dxa"/>
            <w:vAlign w:val="top"/>
          </w:tcPr>
          <w:p w:rsidR="00714DC2" w:rsidRDefault="00714DC2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714DC2" w:rsidRDefault="00714DC2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14DC2" w:rsidTr="00714DC2">
        <w:tc>
          <w:tcPr>
            <w:tcW w:w="1276" w:type="dxa"/>
            <w:vAlign w:val="top"/>
          </w:tcPr>
          <w:p w:rsidR="00714DC2" w:rsidRPr="00350F81" w:rsidRDefault="00714DC2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</w:t>
            </w:r>
            <w:r>
              <w:t> </w:t>
            </w:r>
            <w:r w:rsidRPr="00350F81">
              <w:t>31.3</w:t>
            </w:r>
          </w:p>
        </w:tc>
        <w:tc>
          <w:tcPr>
            <w:tcW w:w="5954" w:type="dxa"/>
            <w:vAlign w:val="top"/>
          </w:tcPr>
          <w:p w:rsidR="00714DC2" w:rsidRPr="00350F81" w:rsidRDefault="00714DC2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714DC2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28719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provided all documentation, access and assistance necessary to audit the Contract EMP (M),</w:t>
            </w:r>
          </w:p>
          <w:p w:rsidR="00714DC2" w:rsidRPr="00350F81" w:rsidRDefault="00714DC2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 xml:space="preserve">Contractors which have an accredited or certified (ISO 140001) EMS, that is approved for use in place of an EMP (M) must provide access to documentation pertaining the Contractors </w:t>
            </w:r>
            <w:r>
              <w:t>EMP (M).</w:t>
            </w:r>
          </w:p>
          <w:p w:rsidR="00714DC2" w:rsidRPr="00C402DC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55153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</w:t>
            </w:r>
            <w:r w:rsidR="00714DC2">
              <w:t>n</w:t>
            </w:r>
            <w:r w:rsidR="00714DC2" w:rsidRPr="00350F81">
              <w:t>otified the Principal's Representative, within 7 days, of non-conformance in the implementation of the Contract EMP (M) or non-conformance in compliance with the Contract EMP (M).</w:t>
            </w:r>
          </w:p>
        </w:tc>
        <w:tc>
          <w:tcPr>
            <w:tcW w:w="1701" w:type="dxa"/>
            <w:vAlign w:val="top"/>
          </w:tcPr>
          <w:p w:rsidR="00714DC2" w:rsidRDefault="00714DC2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714DC2" w:rsidRDefault="00714DC2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14DC2" w:rsidTr="00714DC2">
        <w:tc>
          <w:tcPr>
            <w:tcW w:w="1276" w:type="dxa"/>
            <w:vAlign w:val="top"/>
          </w:tcPr>
          <w:p w:rsidR="00714DC2" w:rsidRPr="00350F81" w:rsidRDefault="00714DC2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</w:t>
            </w:r>
            <w:r>
              <w:t> </w:t>
            </w:r>
            <w:r w:rsidRPr="00350F81">
              <w:t>31.4</w:t>
            </w:r>
          </w:p>
        </w:tc>
        <w:tc>
          <w:tcPr>
            <w:tcW w:w="5954" w:type="dxa"/>
            <w:vAlign w:val="top"/>
          </w:tcPr>
          <w:p w:rsidR="00714DC2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1739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The Contractor</w:t>
            </w:r>
            <w:r w:rsidR="00714DC2">
              <w:t xml:space="preserve"> </w:t>
            </w:r>
            <w:r w:rsidR="00714DC2" w:rsidRPr="00350F81">
              <w:t xml:space="preserve">notified the Principal's Representative of an </w:t>
            </w:r>
            <w:r w:rsidR="00714DC2">
              <w:t>e</w:t>
            </w:r>
            <w:r w:rsidR="00714DC2" w:rsidRPr="00350F81">
              <w:t xml:space="preserve">nvironmental </w:t>
            </w:r>
            <w:r w:rsidR="00714DC2">
              <w:t>i</w:t>
            </w:r>
            <w:r w:rsidR="00714DC2" w:rsidRPr="00350F81">
              <w:t>ncident occurrence within reasonable time.</w:t>
            </w:r>
          </w:p>
        </w:tc>
        <w:tc>
          <w:tcPr>
            <w:tcW w:w="1701" w:type="dxa"/>
            <w:vAlign w:val="top"/>
          </w:tcPr>
          <w:p w:rsidR="00714DC2" w:rsidRDefault="00714DC2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714DC2" w:rsidRDefault="00714DC2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714DC2" w:rsidTr="00714DC2">
        <w:tc>
          <w:tcPr>
            <w:tcW w:w="1276" w:type="dxa"/>
            <w:vAlign w:val="top"/>
          </w:tcPr>
          <w:p w:rsidR="00714DC2" w:rsidRPr="00350F81" w:rsidDel="004859C4" w:rsidRDefault="00714DC2" w:rsidP="002D73C5">
            <w:pPr>
              <w:pStyle w:val="TableBodyText"/>
              <w:widowControl w:val="0"/>
            </w:pPr>
            <w:r>
              <w:lastRenderedPageBreak/>
              <w:t>Cl </w:t>
            </w:r>
            <w:r w:rsidRPr="00350F81">
              <w:t>31.5 &amp; Appendix L Cl</w:t>
            </w:r>
            <w:r>
              <w:t> </w:t>
            </w:r>
            <w:r w:rsidRPr="00350F81">
              <w:t>9.1</w:t>
            </w:r>
          </w:p>
        </w:tc>
        <w:tc>
          <w:tcPr>
            <w:tcW w:w="5954" w:type="dxa"/>
            <w:vAlign w:val="top"/>
          </w:tcPr>
          <w:p w:rsidR="00714DC2" w:rsidRPr="00350F81" w:rsidRDefault="00714DC2" w:rsidP="002D73C5">
            <w:pPr>
              <w:pStyle w:val="TableBodyText"/>
              <w:widowControl w:val="0"/>
            </w:pPr>
            <w:r w:rsidRPr="00350F81">
              <w:t>The Contractor:</w:t>
            </w:r>
          </w:p>
          <w:p w:rsidR="00714DC2" w:rsidRPr="00350F81" w:rsidRDefault="003722D9" w:rsidP="002D73C5">
            <w:pPr>
              <w:pStyle w:val="TableBodyText"/>
              <w:widowControl w:val="0"/>
            </w:pPr>
            <w:sdt>
              <w:sdtPr>
                <w:id w:val="-68797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4DC2" w:rsidRPr="00350F81">
              <w:t xml:space="preserve">  notified the Principal's Representative of any proposed meetings with, or inspections by, </w:t>
            </w:r>
            <w:r w:rsidR="00714DC2">
              <w:t>a</w:t>
            </w:r>
            <w:r w:rsidR="00714DC2" w:rsidRPr="00350F81">
              <w:t>uthorities regarding environmental incidents under the Contract.</w:t>
            </w:r>
          </w:p>
          <w:p w:rsidR="00714DC2" w:rsidRPr="00350F81" w:rsidRDefault="003722D9" w:rsidP="002D73C5">
            <w:pPr>
              <w:pStyle w:val="TableBodyText"/>
              <w:widowControl w:val="0"/>
            </w:pPr>
            <w:sdt>
              <w:sdtPr>
                <w:id w:val="214376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4D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4DC2" w:rsidRPr="00350F81">
              <w:t xml:space="preserve">  allowed the Principal or their representative to be present at those meetings.</w:t>
            </w:r>
          </w:p>
        </w:tc>
        <w:tc>
          <w:tcPr>
            <w:tcW w:w="1701" w:type="dxa"/>
            <w:vAlign w:val="top"/>
          </w:tcPr>
          <w:p w:rsidR="00714DC2" w:rsidRDefault="00714DC2" w:rsidP="002D73C5">
            <w:pPr>
              <w:pStyle w:val="TableBodyText"/>
              <w:widowControl w:val="0"/>
            </w:pPr>
          </w:p>
        </w:tc>
        <w:tc>
          <w:tcPr>
            <w:tcW w:w="5061" w:type="dxa"/>
            <w:vAlign w:val="top"/>
          </w:tcPr>
          <w:p w:rsidR="00714DC2" w:rsidRDefault="00714DC2" w:rsidP="002D73C5">
            <w:pPr>
              <w:pStyle w:val="TableBodyText"/>
              <w:widowControl w:val="0"/>
            </w:pPr>
          </w:p>
        </w:tc>
      </w:tr>
      <w:tr w:rsidR="00714DC2" w:rsidTr="00714DC2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714DC2" w:rsidRPr="00107514" w:rsidRDefault="00714DC2" w:rsidP="002D73C5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RAMC Appendix L – Environmental and Cultural Heritage Management requirements for Contract Plan</w:t>
            </w: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6.1</w:t>
            </w:r>
          </w:p>
        </w:tc>
        <w:tc>
          <w:tcPr>
            <w:tcW w:w="5954" w:type="dxa"/>
            <w:vAlign w:val="top"/>
          </w:tcPr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55585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No works were commenced on site until after the Principal's written notice of approval for the Contractor's EMS, EMP (M) </w:t>
            </w:r>
            <w:r w:rsidR="002D73C5">
              <w:t>and/</w:t>
            </w:r>
            <w:r w:rsidR="002D73C5" w:rsidRPr="00350F81">
              <w:t>or EMP (C).</w:t>
            </w:r>
          </w:p>
        </w:tc>
        <w:tc>
          <w:tcPr>
            <w:tcW w:w="1701" w:type="dxa"/>
            <w:vAlign w:val="top"/>
          </w:tcPr>
          <w:p w:rsidR="002D73C5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7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58248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notified the Principal's Representative, at least 5 days, of activities or sites which are:</w:t>
            </w:r>
          </w:p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 xml:space="preserve">a </w:t>
            </w:r>
            <w:proofErr w:type="gramStart"/>
            <w:r w:rsidRPr="00350F81">
              <w:t>High Risk</w:t>
            </w:r>
            <w:proofErr w:type="gramEnd"/>
            <w:r w:rsidRPr="00350F81">
              <w:t xml:space="preserve"> activity, or</w:t>
            </w:r>
          </w:p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 xml:space="preserve">an activity or site that </w:t>
            </w:r>
            <w:r>
              <w:t>t</w:t>
            </w:r>
            <w:r w:rsidRPr="00350F81">
              <w:t xml:space="preserve">riggers </w:t>
            </w:r>
            <w:r>
              <w:t>e</w:t>
            </w:r>
            <w:r w:rsidRPr="00350F81">
              <w:t xml:space="preserve">nvironmental </w:t>
            </w:r>
            <w:r>
              <w:t>a</w:t>
            </w:r>
            <w:r w:rsidRPr="00350F81">
              <w:t>ssessments (Cl 7.1 &amp; 7.2),</w:t>
            </w:r>
          </w:p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or any other activity, or location, that the Principal has advised requires an environmental assessment, or</w:t>
            </w:r>
          </w:p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 xml:space="preserve">another activity which the Contractor considers may be considered a </w:t>
            </w:r>
            <w:proofErr w:type="gramStart"/>
            <w:r w:rsidRPr="00350F81">
              <w:t>High Risk</w:t>
            </w:r>
            <w:proofErr w:type="gramEnd"/>
            <w:r w:rsidRPr="00350F81">
              <w:t xml:space="preserve"> environmental activity due to it nature or location.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70984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has not commenced the </w:t>
            </w:r>
            <w:proofErr w:type="gramStart"/>
            <w:r w:rsidR="002D73C5" w:rsidRPr="00350F81">
              <w:t>High Risk</w:t>
            </w:r>
            <w:proofErr w:type="gramEnd"/>
            <w:r w:rsidR="002D73C5" w:rsidRPr="00350F81">
              <w:t xml:space="preserve"> activity without approval from the Principal's </w:t>
            </w:r>
            <w:r w:rsidR="002D73C5">
              <w:t>R</w:t>
            </w:r>
            <w:r w:rsidR="002D73C5" w:rsidRPr="00350F81">
              <w:t>epresentative.</w:t>
            </w:r>
          </w:p>
        </w:tc>
        <w:tc>
          <w:tcPr>
            <w:tcW w:w="1701" w:type="dxa"/>
            <w:vAlign w:val="top"/>
          </w:tcPr>
          <w:p w:rsidR="002D73C5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66762E">
            <w:pPr>
              <w:pStyle w:val="TableBodyText"/>
              <w:keepNext w:val="0"/>
              <w:keepLines w:val="0"/>
              <w:widowControl w:val="0"/>
            </w:pPr>
            <w:r w:rsidRPr="00350F81">
              <w:t xml:space="preserve">Cl 8.1 &amp; </w:t>
            </w:r>
            <w:proofErr w:type="spellStart"/>
            <w:r w:rsidRPr="00350F81">
              <w:t>GCoC</w:t>
            </w:r>
            <w:proofErr w:type="spellEnd"/>
            <w:r w:rsidRPr="00350F81">
              <w:t xml:space="preserve"> Cl 28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66762E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2D73C5" w:rsidRPr="00350F81" w:rsidRDefault="003722D9" w:rsidP="0066762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64164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carried out all works under the Contract in a manner which does not cause </w:t>
            </w:r>
            <w:r w:rsidR="002D73C5">
              <w:t>e</w:t>
            </w:r>
            <w:r w:rsidR="002D73C5" w:rsidRPr="00350F81">
              <w:t xml:space="preserve">nvironmental </w:t>
            </w:r>
            <w:r w:rsidR="002D73C5">
              <w:t>h</w:t>
            </w:r>
            <w:r w:rsidR="002D73C5" w:rsidRPr="00350F81">
              <w:t xml:space="preserve">arm and/or </w:t>
            </w:r>
            <w:r w:rsidR="002D73C5">
              <w:t>e</w:t>
            </w:r>
            <w:r w:rsidR="002D73C5" w:rsidRPr="00350F81">
              <w:t xml:space="preserve">nvironmental </w:t>
            </w:r>
            <w:r w:rsidR="002D73C5">
              <w:t>n</w:t>
            </w:r>
            <w:r w:rsidR="002D73C5" w:rsidRPr="00350F81">
              <w:t>uisance,</w:t>
            </w:r>
          </w:p>
          <w:p w:rsidR="002D73C5" w:rsidRPr="00350F81" w:rsidRDefault="003722D9" w:rsidP="0066762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06255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maintained and implemented the EMS or EMP (M),</w:t>
            </w:r>
          </w:p>
          <w:p w:rsidR="002D73C5" w:rsidRPr="00350F81" w:rsidRDefault="003722D9" w:rsidP="0066762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31824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complied with directions or requirements imposed by the Administrating Authority in relation to works under the Contract.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5167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paid all penalties, costs and expenses that may be incurred concerning offences committed or alleged to be committed under any statutory requirements relating to environmental management.</w:t>
            </w:r>
          </w:p>
          <w:p w:rsidR="002D73C5" w:rsidRPr="00350F81" w:rsidRDefault="002D73C5" w:rsidP="0066762E">
            <w:pPr>
              <w:pStyle w:val="TableBodyText"/>
              <w:widowControl w:val="0"/>
              <w:rPr>
                <w:rFonts w:eastAsia="MS Gothic"/>
              </w:rPr>
            </w:pPr>
            <w:r w:rsidRPr="00350F81">
              <w:rPr>
                <w:rFonts w:eastAsia="MS Gothic"/>
              </w:rPr>
              <w:t xml:space="preserve">If </w:t>
            </w:r>
            <w:r>
              <w:rPr>
                <w:rFonts w:eastAsia="MS Gothic"/>
              </w:rPr>
              <w:t>e</w:t>
            </w:r>
            <w:r w:rsidRPr="00350F81">
              <w:rPr>
                <w:rFonts w:eastAsia="MS Gothic"/>
              </w:rPr>
              <w:t xml:space="preserve">nvironmental </w:t>
            </w:r>
            <w:r>
              <w:rPr>
                <w:rFonts w:eastAsia="MS Gothic"/>
              </w:rPr>
              <w:t>h</w:t>
            </w:r>
            <w:r w:rsidRPr="00350F81">
              <w:rPr>
                <w:rFonts w:eastAsia="MS Gothic"/>
              </w:rPr>
              <w:t xml:space="preserve">arm and/or </w:t>
            </w:r>
            <w:r>
              <w:rPr>
                <w:rFonts w:eastAsia="MS Gothic"/>
              </w:rPr>
              <w:t>n</w:t>
            </w:r>
            <w:r w:rsidRPr="00350F81">
              <w:rPr>
                <w:rFonts w:eastAsia="MS Gothic"/>
              </w:rPr>
              <w:t>uisance occurred, the Contractor immediately:</w:t>
            </w:r>
          </w:p>
          <w:p w:rsidR="002D73C5" w:rsidRPr="00350F81" w:rsidRDefault="003722D9" w:rsidP="0066762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24893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initiated actions to mitigate the environmental harm or nuisance and prevented any reoccurrence or escalation of the harm,</w:t>
            </w:r>
          </w:p>
          <w:p w:rsidR="002D73C5" w:rsidRPr="00350F81" w:rsidRDefault="003722D9" w:rsidP="0066762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04518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advised the Principal's Representative and</w:t>
            </w:r>
          </w:p>
          <w:p w:rsidR="002D73C5" w:rsidRPr="00350F81" w:rsidRDefault="003722D9" w:rsidP="0066762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6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advised the relevant Administering Authority.</w:t>
            </w:r>
          </w:p>
        </w:tc>
        <w:tc>
          <w:tcPr>
            <w:tcW w:w="1701" w:type="dxa"/>
            <w:vAlign w:val="top"/>
          </w:tcPr>
          <w:p w:rsidR="002D73C5" w:rsidRPr="008E0B12" w:rsidRDefault="002D73C5" w:rsidP="002D73C5">
            <w:pPr>
              <w:pStyle w:val="TableBodyText"/>
              <w:widowControl w:val="0"/>
            </w:pPr>
          </w:p>
        </w:tc>
        <w:tc>
          <w:tcPr>
            <w:tcW w:w="5061" w:type="dxa"/>
            <w:vAlign w:val="top"/>
          </w:tcPr>
          <w:p w:rsidR="002D73C5" w:rsidRDefault="002D73C5" w:rsidP="002D73C5">
            <w:pPr>
              <w:pStyle w:val="TableBodyText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8.3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02937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retained all records required to demonstrate compliance with all </w:t>
            </w:r>
            <w:r w:rsidR="002D73C5">
              <w:t>a</w:t>
            </w:r>
            <w:r w:rsidR="002D73C5" w:rsidRPr="00350F81">
              <w:t>pprovals</w:t>
            </w:r>
            <w:r w:rsidR="002D73C5">
              <w:t>,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91882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where an </w:t>
            </w:r>
            <w:r w:rsidR="002D73C5">
              <w:t>e</w:t>
            </w:r>
            <w:r w:rsidR="002D73C5" w:rsidRPr="00350F81">
              <w:t xml:space="preserve">nvironmental </w:t>
            </w:r>
            <w:r w:rsidR="002D73C5">
              <w:t>a</w:t>
            </w:r>
            <w:r w:rsidR="002D73C5" w:rsidRPr="00350F81">
              <w:t xml:space="preserve">pproval contains conditions extending beyond the period of Contract, the Contractor sought advice from the Principal regarding acceptance prior to formalising the </w:t>
            </w:r>
            <w:r w:rsidR="002D73C5">
              <w:t>a</w:t>
            </w:r>
            <w:r w:rsidR="002D73C5" w:rsidRPr="00350F81">
              <w:t>pproval</w:t>
            </w:r>
            <w:r w:rsidR="002D73C5">
              <w:t>,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2236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where an </w:t>
            </w:r>
            <w:r w:rsidR="002D73C5">
              <w:t>e</w:t>
            </w:r>
            <w:r w:rsidR="002D73C5" w:rsidRPr="00350F81">
              <w:t xml:space="preserve">nvironmental </w:t>
            </w:r>
            <w:r w:rsidR="002D73C5">
              <w:t>a</w:t>
            </w:r>
            <w:r w:rsidR="002D73C5" w:rsidRPr="00350F81">
              <w:t>pproval contains a reporting requirement or supply of data or documentation, the Contractor supplied this to the Principal’s Representative no later than 20 days prior to the dates specified in the Approval</w:t>
            </w:r>
            <w:r w:rsidR="002D73C5">
              <w:t>,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97103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where an Environmental Approval contains a reporting requirement, any reports were not published or released without written approval of the Principal</w:t>
            </w:r>
            <w:r w:rsidR="002D73C5">
              <w:t>,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0763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prior to Date of Practical Completion or conclusion of the Contract, the Contractor provided documentation of the surrender of </w:t>
            </w:r>
            <w:r w:rsidR="002D73C5">
              <w:t>a</w:t>
            </w:r>
            <w:r w:rsidR="002D73C5" w:rsidRPr="00350F81">
              <w:t>pprovals held by the Contractor that relate to the Contract.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66762E">
            <w:pPr>
              <w:pStyle w:val="TableBodyText"/>
              <w:widowControl w:val="0"/>
            </w:pPr>
            <w:r w:rsidRPr="00350F81">
              <w:lastRenderedPageBreak/>
              <w:t>Cl 8.5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66762E">
            <w:pPr>
              <w:pStyle w:val="TableBodyText"/>
              <w:widowControl w:val="0"/>
            </w:pPr>
            <w:r w:rsidRPr="00350F81">
              <w:t>The Contractor: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1970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C5" w:rsidRPr="00350F81">
              <w:t xml:space="preserve">  reviewed and revised the EMP (M) at least once each year of the Contract Term</w:t>
            </w:r>
            <w:r w:rsidR="002D73C5">
              <w:t>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109760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submitted all changes to the EMP to the Principal’s Representative for assessment of suitability to address requirements of the Contract</w:t>
            </w:r>
            <w:r w:rsidR="002D73C5">
              <w:t>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49002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provided the Principal's Representative an electronic copy of the most current and complete version of the EMP (M).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66762E">
            <w:pPr>
              <w:pStyle w:val="TableBodyText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66762E">
            <w:pPr>
              <w:pStyle w:val="TableBodyText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9.1</w:t>
            </w:r>
          </w:p>
        </w:tc>
        <w:tc>
          <w:tcPr>
            <w:tcW w:w="5954" w:type="dxa"/>
            <w:vAlign w:val="top"/>
          </w:tcPr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61725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The Contractor notified the Principal's Representative of correspondence, meeting with or visits from representatives of any Administering Authority within 24hrs.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9.2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43741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implemented a system to manage complaints and enquiries</w:t>
            </w:r>
            <w:r w:rsidR="002D73C5">
              <w:t>,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39057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has taken necessary action to investigate to resolve or respond to all enquiries or complaints</w:t>
            </w:r>
            <w:r w:rsidR="002D73C5">
              <w:t>,</w:t>
            </w:r>
          </w:p>
          <w:p w:rsidR="002D73C5" w:rsidRPr="00350F81" w:rsidDel="0057040D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07998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notified the Principal's Representative of the receipt of all complaints and enquiries or complaints.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9.3</w:t>
            </w:r>
          </w:p>
        </w:tc>
        <w:tc>
          <w:tcPr>
            <w:tcW w:w="5954" w:type="dxa"/>
            <w:vAlign w:val="top"/>
          </w:tcPr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78803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The Contractor </w:t>
            </w:r>
            <w:r w:rsidR="002D73C5">
              <w:t>undertook</w:t>
            </w:r>
            <w:r w:rsidR="002D73C5" w:rsidRPr="00350F81">
              <w:t xml:space="preserve"> at least one internal environmental audit during each year of the Contract and provided the report to the Principal's Representative.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9.4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7625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C5" w:rsidRPr="00350F81">
              <w:t xml:space="preserve">  undert</w:t>
            </w:r>
            <w:r w:rsidR="002D73C5">
              <w:t>ook</w:t>
            </w:r>
            <w:r w:rsidR="002D73C5" w:rsidRPr="00350F81">
              <w:t xml:space="preserve"> environmental monitoring requirements as condition of </w:t>
            </w:r>
            <w:r w:rsidR="002D73C5">
              <w:t>a</w:t>
            </w:r>
            <w:r w:rsidR="002D73C5" w:rsidRPr="00350F81">
              <w:t>pprovals,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58876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identified non-conforming monitoring results in the Contractor's monthly environmental report.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66762E">
            <w:pPr>
              <w:pStyle w:val="TableBodyText"/>
              <w:widowControl w:val="0"/>
            </w:pPr>
            <w:r w:rsidRPr="00350F81">
              <w:lastRenderedPageBreak/>
              <w:t>Cl 9.5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66762E">
            <w:pPr>
              <w:pStyle w:val="TableBodyText"/>
              <w:widowControl w:val="0"/>
            </w:pPr>
            <w:r w:rsidRPr="00350F81">
              <w:t>The Contractor's monthly environmental reporting includes: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210537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 updates to EMP (M) and Erosion and Sediment Control Plan (ESCP),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37886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C5" w:rsidRPr="00350F81">
              <w:t xml:space="preserve">  register of current and completed non-conformance and corrective action reports related environmental matters, environmental-related complaints and </w:t>
            </w:r>
            <w:r w:rsidR="002D73C5">
              <w:t>e</w:t>
            </w:r>
            <w:r w:rsidR="002D73C5" w:rsidRPr="00350F81">
              <w:t xml:space="preserve">nvironmental </w:t>
            </w:r>
            <w:r w:rsidR="002D73C5">
              <w:t>i</w:t>
            </w:r>
            <w:r w:rsidR="002D73C5" w:rsidRPr="00350F81">
              <w:t>ncidents and records of the current status,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143833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positive environmental outcomes </w:t>
            </w:r>
            <w:proofErr w:type="gramStart"/>
            <w:r w:rsidR="002D73C5" w:rsidRPr="00350F81">
              <w:t>achieved</w:t>
            </w:r>
            <w:proofErr w:type="gramEnd"/>
            <w:r w:rsidR="002D73C5" w:rsidRPr="00350F81">
              <w:t xml:space="preserve"> and opportunities identified by the Contractor,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21774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exceptions apparent in the registers, compliance, testing or been noted during inspections or audits, and 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90669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compliance reporting under the Compliance Management Plan, and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168879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the Contractor </w:t>
            </w:r>
            <w:r w:rsidR="002D73C5">
              <w:t>undertook</w:t>
            </w:r>
            <w:r w:rsidR="002D73C5" w:rsidRPr="00350F81">
              <w:t xml:space="preserve"> a review of the adequacy of </w:t>
            </w:r>
            <w:r w:rsidR="002D73C5">
              <w:t>m</w:t>
            </w:r>
            <w:r w:rsidR="002D73C5" w:rsidRPr="00350F81">
              <w:t xml:space="preserve">anagement </w:t>
            </w:r>
            <w:r w:rsidR="002D73C5">
              <w:t>m</w:t>
            </w:r>
            <w:r w:rsidR="002D73C5" w:rsidRPr="00350F81">
              <w:t>easures outline in the EMP for repeated or multiple (3 or more) non-conformances related to the same issue</w:t>
            </w:r>
            <w:r w:rsidR="002D73C5">
              <w:t>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66762E">
            <w:pPr>
              <w:pStyle w:val="TableBodyText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66762E">
            <w:pPr>
              <w:pStyle w:val="TableBodyText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9.6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2136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 In the event of potential or serious environmental harm or nuisance occurring, the Contractor undertook immediate remedial actions to mitigate harm and prevent further impacts.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83988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 immediately advised the Principal’s Representative and relevant Administering Authority of environmental harm, and followed directions given,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59057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3C5" w:rsidRPr="00350F81">
              <w:t xml:space="preserve">   investigated cause of the breach and/or potential environmental harm and identified and implemented corrective actions as soon as practicable, and</w:t>
            </w:r>
          </w:p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61807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 provided an Environmental Incident Report within 40 business days.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66762E">
            <w:pPr>
              <w:pStyle w:val="TableBodyText"/>
              <w:widowControl w:val="0"/>
            </w:pPr>
            <w:r w:rsidRPr="00350F81">
              <w:lastRenderedPageBreak/>
              <w:t>Cl 9.7</w:t>
            </w:r>
          </w:p>
        </w:tc>
        <w:tc>
          <w:tcPr>
            <w:tcW w:w="5954" w:type="dxa"/>
            <w:vAlign w:val="top"/>
          </w:tcPr>
          <w:p w:rsidR="002D73C5" w:rsidRPr="00350F81" w:rsidRDefault="002D73C5" w:rsidP="0066762E">
            <w:pPr>
              <w:pStyle w:val="TableBodyText"/>
              <w:widowControl w:val="0"/>
            </w:pPr>
            <w:r w:rsidRPr="00350F81">
              <w:t>The Contractor notified the Principal's Representative of: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2362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actual or potential material or serious </w:t>
            </w:r>
            <w:r w:rsidR="002D73C5">
              <w:t>E</w:t>
            </w:r>
            <w:r w:rsidR="002D73C5" w:rsidRPr="00350F81">
              <w:t xml:space="preserve">nvironmental Harm as defined in the </w:t>
            </w:r>
            <w:r w:rsidR="002D73C5" w:rsidRPr="00350F81">
              <w:rPr>
                <w:i/>
              </w:rPr>
              <w:t>Environmental Protection Act 1994</w:t>
            </w:r>
            <w:r w:rsidR="002D73C5" w:rsidRPr="00350F81">
              <w:t>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10948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reportable breach of legislation or </w:t>
            </w:r>
            <w:r w:rsidR="002D73C5">
              <w:t>a</w:t>
            </w:r>
            <w:r w:rsidR="002D73C5" w:rsidRPr="00350F81">
              <w:t>pproval condition/s,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20146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injury or death of native fauna other than least concern species,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200079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tampering with native animal breeding place/s,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19387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clearing of a protected plant/s other than authorised under an </w:t>
            </w:r>
            <w:r w:rsidR="002D73C5">
              <w:t>e</w:t>
            </w:r>
            <w:r w:rsidR="002D73C5" w:rsidRPr="00350F81">
              <w:t xml:space="preserve">nvironmental </w:t>
            </w:r>
            <w:r w:rsidR="002D73C5">
              <w:t>a</w:t>
            </w:r>
            <w:r w:rsidR="002D73C5" w:rsidRPr="00350F81">
              <w:t>pproval,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81109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identification of new biosecurity prohibited matter or restricted matter or breach of a condition of a biosecurity zone,</w:t>
            </w:r>
          </w:p>
          <w:p w:rsidR="002D73C5" w:rsidRPr="00350F81" w:rsidRDefault="003722D9" w:rsidP="0066762E">
            <w:pPr>
              <w:pStyle w:val="TableBodyText"/>
              <w:widowControl w:val="0"/>
            </w:pPr>
            <w:sdt>
              <w:sdtPr>
                <w:id w:val="-48425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significant environmental feature.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66762E">
            <w:pPr>
              <w:pStyle w:val="TableBodyText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66762E">
            <w:pPr>
              <w:pStyle w:val="TableBodyText"/>
              <w:widowControl w:val="0"/>
            </w:pPr>
          </w:p>
        </w:tc>
      </w:tr>
      <w:tr w:rsidR="002D73C5" w:rsidTr="00714DC2">
        <w:tc>
          <w:tcPr>
            <w:tcW w:w="1276" w:type="dxa"/>
            <w:vAlign w:val="top"/>
          </w:tcPr>
          <w:p w:rsidR="002D73C5" w:rsidRPr="00350F81" w:rsidRDefault="002D73C5" w:rsidP="002D73C5">
            <w:pPr>
              <w:pStyle w:val="TableBodyText"/>
              <w:keepNext w:val="0"/>
              <w:keepLines w:val="0"/>
              <w:widowControl w:val="0"/>
            </w:pPr>
            <w:r w:rsidRPr="00350F81">
              <w:t>Cl 9.8</w:t>
            </w:r>
          </w:p>
        </w:tc>
        <w:tc>
          <w:tcPr>
            <w:tcW w:w="5954" w:type="dxa"/>
            <w:vAlign w:val="top"/>
          </w:tcPr>
          <w:p w:rsidR="002D73C5" w:rsidRPr="00350F81" w:rsidRDefault="003722D9" w:rsidP="002D73C5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73705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C5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73C5" w:rsidRPr="00350F81">
              <w:t xml:space="preserve">  The Contractor </w:t>
            </w:r>
            <w:r w:rsidR="002D73C5">
              <w:t xml:space="preserve">retained </w:t>
            </w:r>
            <w:r w:rsidR="002D73C5" w:rsidRPr="00350F81">
              <w:t>and submitted environmental records identified in Table 9.1 at least annually, by 30</w:t>
            </w:r>
            <w:r w:rsidR="002D73C5" w:rsidRPr="00350F81">
              <w:rPr>
                <w:vertAlign w:val="superscript"/>
              </w:rPr>
              <w:t>th</w:t>
            </w:r>
            <w:r w:rsidR="002D73C5" w:rsidRPr="00350F81">
              <w:t xml:space="preserve"> June each calendar year.</w:t>
            </w:r>
          </w:p>
        </w:tc>
        <w:tc>
          <w:tcPr>
            <w:tcW w:w="170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2D73C5" w:rsidRPr="003D7BBD" w:rsidRDefault="002D73C5" w:rsidP="002D73C5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90D4E" w:rsidTr="00590D4E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590D4E" w:rsidRPr="003D7BBD" w:rsidRDefault="00590D4E" w:rsidP="00C46646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Water Quality</w:t>
            </w:r>
          </w:p>
        </w:tc>
      </w:tr>
      <w:tr w:rsidR="00590D4E" w:rsidTr="00714DC2">
        <w:tc>
          <w:tcPr>
            <w:tcW w:w="1276" w:type="dxa"/>
            <w:vAlign w:val="top"/>
          </w:tcPr>
          <w:p w:rsidR="00590D4E" w:rsidRPr="00350F81" w:rsidRDefault="00590D4E" w:rsidP="00C46646">
            <w:pPr>
              <w:pStyle w:val="TableBodyText"/>
              <w:keepNext w:val="0"/>
              <w:keepLines w:val="0"/>
              <w:widowControl w:val="0"/>
            </w:pPr>
            <w:r w:rsidRPr="00350F81">
              <w:t>Cl 10.2</w:t>
            </w:r>
          </w:p>
        </w:tc>
        <w:tc>
          <w:tcPr>
            <w:tcW w:w="5954" w:type="dxa"/>
            <w:vAlign w:val="top"/>
          </w:tcPr>
          <w:p w:rsidR="00590D4E" w:rsidRPr="00350F81" w:rsidRDefault="003722D9" w:rsidP="00C46646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71091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4E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0D4E" w:rsidRPr="00350F81">
              <w:t xml:space="preserve">  The Contractor provided documentation of water quality monitoring, and investigations whether reasonable and practicable measures were implemented, and whether corrective actions are required.</w:t>
            </w:r>
          </w:p>
        </w:tc>
        <w:tc>
          <w:tcPr>
            <w:tcW w:w="1701" w:type="dxa"/>
            <w:vAlign w:val="top"/>
          </w:tcPr>
          <w:p w:rsidR="00590D4E" w:rsidRPr="003D7BBD" w:rsidRDefault="00590D4E" w:rsidP="00C4664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590D4E" w:rsidRPr="003D7BBD" w:rsidRDefault="00590D4E" w:rsidP="00C4664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81714" w:rsidTr="00F81714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F81714" w:rsidRPr="003D7BBD" w:rsidRDefault="00F81714" w:rsidP="00C46646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Erosion &amp; Sediment Control</w:t>
            </w:r>
          </w:p>
        </w:tc>
      </w:tr>
      <w:tr w:rsidR="00F81714" w:rsidTr="00714DC2">
        <w:tc>
          <w:tcPr>
            <w:tcW w:w="1276" w:type="dxa"/>
            <w:vAlign w:val="top"/>
          </w:tcPr>
          <w:p w:rsidR="00F81714" w:rsidRPr="00350F81" w:rsidRDefault="00F81714" w:rsidP="00C46646">
            <w:pPr>
              <w:pStyle w:val="TableBodyText"/>
              <w:keepNext w:val="0"/>
              <w:keepLines w:val="0"/>
              <w:widowControl w:val="0"/>
            </w:pPr>
            <w:r w:rsidRPr="00350F81">
              <w:t>Cl 10.3 &amp; MRTS52</w:t>
            </w:r>
          </w:p>
        </w:tc>
        <w:tc>
          <w:tcPr>
            <w:tcW w:w="5954" w:type="dxa"/>
            <w:vAlign w:val="top"/>
          </w:tcPr>
          <w:p w:rsidR="00F81714" w:rsidRPr="00350F81" w:rsidRDefault="00F81714" w:rsidP="00C46646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F81714" w:rsidRPr="00350F81" w:rsidRDefault="003722D9" w:rsidP="00C46646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6356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14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1714" w:rsidRPr="00350F81">
              <w:t xml:space="preserve">  </w:t>
            </w:r>
            <w:proofErr w:type="gramStart"/>
            <w:r w:rsidR="00F81714" w:rsidRPr="00350F81">
              <w:t>undertook reasonable and practicable management measures at all times</w:t>
            </w:r>
            <w:proofErr w:type="gramEnd"/>
            <w:r w:rsidR="00F81714" w:rsidRPr="00350F81">
              <w:t xml:space="preserve"> to prevent erosion associated sedimentation, and avoid </w:t>
            </w:r>
            <w:r w:rsidR="00F81714">
              <w:t>e</w:t>
            </w:r>
            <w:r w:rsidR="00F81714" w:rsidRPr="00350F81">
              <w:t xml:space="preserve">nvironmental </w:t>
            </w:r>
            <w:r w:rsidR="00F81714">
              <w:t>h</w:t>
            </w:r>
            <w:r w:rsidR="00F81714" w:rsidRPr="00350F81">
              <w:t xml:space="preserve">arm or nuisance within Site and to </w:t>
            </w:r>
            <w:r w:rsidR="00F81714">
              <w:t>w</w:t>
            </w:r>
            <w:r w:rsidR="00F81714" w:rsidRPr="00350F81">
              <w:t>aterways which the site discharges,</w:t>
            </w:r>
          </w:p>
          <w:p w:rsidR="00F81714" w:rsidRPr="00350F81" w:rsidRDefault="003722D9" w:rsidP="00C46646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28905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14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1714" w:rsidRPr="00350F81">
              <w:t xml:space="preserve">  monitored the continued effectiveness of the ESC during the Contract, and updated the ESCP where necessary, and</w:t>
            </w:r>
          </w:p>
          <w:p w:rsidR="00F81714" w:rsidRPr="00350F81" w:rsidRDefault="003722D9" w:rsidP="00C46646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53206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714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1714" w:rsidRPr="00350F81">
              <w:t xml:space="preserve">  completed CAC005M to ensure works conducted in accordance with the ESCP</w:t>
            </w:r>
          </w:p>
        </w:tc>
        <w:tc>
          <w:tcPr>
            <w:tcW w:w="1701" w:type="dxa"/>
            <w:vAlign w:val="top"/>
          </w:tcPr>
          <w:p w:rsidR="00F81714" w:rsidRPr="003D7BBD" w:rsidRDefault="00F81714" w:rsidP="00C46646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F81714" w:rsidRPr="003D7BBD" w:rsidRDefault="00F81714" w:rsidP="00C46646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C46646" w:rsidTr="00C46646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C46646" w:rsidRPr="003D7BBD" w:rsidRDefault="00C46646" w:rsidP="00C46646">
            <w:pPr>
              <w:pStyle w:val="TableHeading"/>
              <w:jc w:val="left"/>
            </w:pPr>
            <w:r>
              <w:lastRenderedPageBreak/>
              <w:t>Noise</w:t>
            </w:r>
          </w:p>
        </w:tc>
      </w:tr>
      <w:tr w:rsidR="00E23A83" w:rsidTr="00714DC2">
        <w:tc>
          <w:tcPr>
            <w:tcW w:w="1276" w:type="dxa"/>
            <w:vAlign w:val="top"/>
          </w:tcPr>
          <w:p w:rsidR="00E23A83" w:rsidRPr="00350F81" w:rsidRDefault="00E23A83" w:rsidP="00E23A83">
            <w:pPr>
              <w:pStyle w:val="TableBodyText"/>
            </w:pPr>
            <w:r w:rsidRPr="00350F81">
              <w:t>Cl 10.4</w:t>
            </w:r>
          </w:p>
        </w:tc>
        <w:tc>
          <w:tcPr>
            <w:tcW w:w="5954" w:type="dxa"/>
            <w:vAlign w:val="top"/>
          </w:tcPr>
          <w:p w:rsidR="00E23A83" w:rsidRPr="00350F81" w:rsidRDefault="00E23A83" w:rsidP="00E23A83">
            <w:pPr>
              <w:pStyle w:val="TableBodyText"/>
            </w:pPr>
            <w:r w:rsidRPr="00350F81">
              <w:t>The Contractor:</w:t>
            </w:r>
          </w:p>
          <w:p w:rsidR="00E23A83" w:rsidRPr="00350F81" w:rsidRDefault="003722D9" w:rsidP="00E23A83">
            <w:pPr>
              <w:pStyle w:val="TableBodyText"/>
            </w:pPr>
            <w:sdt>
              <w:sdtPr>
                <w:id w:val="-16478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A83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3A83" w:rsidRPr="00350F81">
              <w:t xml:space="preserve">  maintained requirements for </w:t>
            </w:r>
            <w:r w:rsidR="00E23A83">
              <w:t>n</w:t>
            </w:r>
            <w:r w:rsidR="00E23A83" w:rsidRPr="00350F81">
              <w:t>oise in accordance with the Contract EMP (M), and</w:t>
            </w:r>
          </w:p>
          <w:p w:rsidR="00E23A83" w:rsidRPr="00350F81" w:rsidRDefault="003722D9" w:rsidP="00E23A83">
            <w:pPr>
              <w:pStyle w:val="TableBodyText"/>
            </w:pPr>
            <w:sdt>
              <w:sdtPr>
                <w:id w:val="141242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A83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3A83" w:rsidRPr="00350F81">
              <w:t xml:space="preserve">  conducted assessment of noise impacts during </w:t>
            </w:r>
            <w:r w:rsidR="00E23A83">
              <w:t>w</w:t>
            </w:r>
            <w:r w:rsidR="00E23A83" w:rsidRPr="00350F81">
              <w:t>orks under an approved Compliance Management Plan or by the Principal's request.</w:t>
            </w:r>
          </w:p>
        </w:tc>
        <w:tc>
          <w:tcPr>
            <w:tcW w:w="1701" w:type="dxa"/>
            <w:vAlign w:val="top"/>
          </w:tcPr>
          <w:p w:rsidR="00E23A83" w:rsidRPr="003D7BBD" w:rsidRDefault="00E23A83" w:rsidP="00E23A83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E23A83" w:rsidRPr="003D7BBD" w:rsidRDefault="00E23A83" w:rsidP="00E23A83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A7E30" w:rsidTr="006A7E30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6A7E30" w:rsidRPr="003D7BBD" w:rsidRDefault="006A7E30" w:rsidP="006A7E30">
            <w:pPr>
              <w:pStyle w:val="TableHeading"/>
              <w:jc w:val="left"/>
            </w:pPr>
            <w:r>
              <w:t>Vibration</w:t>
            </w:r>
          </w:p>
        </w:tc>
      </w:tr>
      <w:tr w:rsidR="006A7E30" w:rsidTr="00714DC2">
        <w:tc>
          <w:tcPr>
            <w:tcW w:w="1276" w:type="dxa"/>
            <w:vAlign w:val="top"/>
          </w:tcPr>
          <w:p w:rsidR="006A7E30" w:rsidRPr="00350F81" w:rsidRDefault="006A7E30" w:rsidP="006A7E30">
            <w:pPr>
              <w:pStyle w:val="TableBodyText"/>
            </w:pPr>
            <w:r w:rsidRPr="00350F81">
              <w:t>Cl 10.5</w:t>
            </w:r>
          </w:p>
        </w:tc>
        <w:tc>
          <w:tcPr>
            <w:tcW w:w="5954" w:type="dxa"/>
            <w:vAlign w:val="top"/>
          </w:tcPr>
          <w:p w:rsidR="006A7E30" w:rsidRPr="00350F81" w:rsidRDefault="006A7E30" w:rsidP="006A7E30">
            <w:pPr>
              <w:pStyle w:val="TableBodyText"/>
            </w:pPr>
            <w:r w:rsidRPr="00350F81">
              <w:t>The Contractor:</w:t>
            </w:r>
          </w:p>
          <w:p w:rsidR="006A7E30" w:rsidRPr="00350F81" w:rsidRDefault="003722D9" w:rsidP="006A7E30">
            <w:pPr>
              <w:pStyle w:val="TableBodyText"/>
            </w:pPr>
            <w:sdt>
              <w:sdtPr>
                <w:id w:val="-46188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E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7E30" w:rsidRPr="00350F81">
              <w:t xml:space="preserve">  </w:t>
            </w:r>
            <w:r w:rsidR="006A7E30">
              <w:t>is compliant</w:t>
            </w:r>
            <w:r w:rsidR="006A7E30" w:rsidRPr="00350F81">
              <w:t xml:space="preserve"> with vibration requirements of the EMP (M),</w:t>
            </w:r>
          </w:p>
          <w:p w:rsidR="006A7E30" w:rsidRPr="00350F81" w:rsidRDefault="003722D9" w:rsidP="006A7E30">
            <w:pPr>
              <w:pStyle w:val="TableBodyText"/>
            </w:pPr>
            <w:sdt>
              <w:sdtPr>
                <w:id w:val="8109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E30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7E30" w:rsidRPr="00350F81">
              <w:t xml:space="preserve">  conducted assessment of vibration impacts during </w:t>
            </w:r>
            <w:r w:rsidR="006A7E30">
              <w:t>w</w:t>
            </w:r>
            <w:r w:rsidR="006A7E30" w:rsidRPr="00350F81">
              <w:t>orks under an approved compliance management plan or by the Principal's request,</w:t>
            </w:r>
          </w:p>
          <w:p w:rsidR="006A7E30" w:rsidRPr="00350F81" w:rsidRDefault="003722D9" w:rsidP="006A7E30">
            <w:pPr>
              <w:pStyle w:val="TableBodyText"/>
            </w:pPr>
            <w:sdt>
              <w:sdtPr>
                <w:id w:val="13268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E30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7E30" w:rsidRPr="00350F81">
              <w:t xml:space="preserve">  documented response to a justifiable complaint caused by the </w:t>
            </w:r>
            <w:r w:rsidR="006A7E30">
              <w:t>w</w:t>
            </w:r>
            <w:r w:rsidR="006A7E30" w:rsidRPr="00350F81">
              <w:t xml:space="preserve">ork under the Contract, and </w:t>
            </w:r>
          </w:p>
          <w:p w:rsidR="006A7E30" w:rsidRPr="00350F81" w:rsidRDefault="003722D9" w:rsidP="006A7E30">
            <w:pPr>
              <w:pStyle w:val="TableBodyText"/>
            </w:pPr>
            <w:sdt>
              <w:sdtPr>
                <w:id w:val="-115376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E30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7E30" w:rsidRPr="00350F81">
              <w:t xml:space="preserve">  documented changes in </w:t>
            </w:r>
            <w:proofErr w:type="spellStart"/>
            <w:r w:rsidR="006A7E30" w:rsidRPr="00350F81">
              <w:t>equiptment</w:t>
            </w:r>
            <w:proofErr w:type="spellEnd"/>
            <w:r w:rsidR="006A7E30" w:rsidRPr="00350F81">
              <w:t>/work method, intensity, location, duration or timing of impacts that are expected to increase vibration impacts.</w:t>
            </w:r>
          </w:p>
        </w:tc>
        <w:tc>
          <w:tcPr>
            <w:tcW w:w="1701" w:type="dxa"/>
            <w:vAlign w:val="top"/>
          </w:tcPr>
          <w:p w:rsidR="006A7E30" w:rsidRPr="003D7BBD" w:rsidRDefault="006A7E30" w:rsidP="006A7E30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6A7E30" w:rsidRPr="003D7BBD" w:rsidRDefault="006A7E30" w:rsidP="006A7E30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F5CFB" w:rsidTr="005F5CFB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5F5CFB" w:rsidRPr="003D7BBD" w:rsidRDefault="005F5CFB" w:rsidP="001326DE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Air Quality</w:t>
            </w:r>
          </w:p>
        </w:tc>
      </w:tr>
      <w:tr w:rsidR="005F5CFB" w:rsidTr="00714DC2">
        <w:tc>
          <w:tcPr>
            <w:tcW w:w="1276" w:type="dxa"/>
            <w:vAlign w:val="top"/>
          </w:tcPr>
          <w:p w:rsidR="005F5CFB" w:rsidRPr="00350F81" w:rsidRDefault="005F5CFB" w:rsidP="001326DE">
            <w:pPr>
              <w:pStyle w:val="TableBodyText"/>
              <w:keepNext w:val="0"/>
              <w:keepLines w:val="0"/>
              <w:widowControl w:val="0"/>
            </w:pPr>
            <w:r w:rsidRPr="00350F81">
              <w:t>Cl 10.6</w:t>
            </w:r>
          </w:p>
        </w:tc>
        <w:tc>
          <w:tcPr>
            <w:tcW w:w="5954" w:type="dxa"/>
            <w:vAlign w:val="top"/>
          </w:tcPr>
          <w:p w:rsidR="005F5CFB" w:rsidRPr="00350F81" w:rsidRDefault="003722D9" w:rsidP="001326D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86915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CFB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CFB" w:rsidRPr="00350F81">
              <w:t xml:space="preserve">  The Contractor maintained requirements for </w:t>
            </w:r>
            <w:r w:rsidR="005F5CFB">
              <w:t>a</w:t>
            </w:r>
            <w:r w:rsidR="005F5CFB" w:rsidRPr="00350F81">
              <w:t xml:space="preserve">ir </w:t>
            </w:r>
            <w:r w:rsidR="005F5CFB">
              <w:t>q</w:t>
            </w:r>
            <w:r w:rsidR="005F5CFB" w:rsidRPr="00350F81">
              <w:t>uality in accordance with the Contract EMP (M).</w:t>
            </w:r>
          </w:p>
          <w:p w:rsidR="005F5CFB" w:rsidRPr="00350F81" w:rsidRDefault="003722D9" w:rsidP="001326D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89549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CFB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CFB" w:rsidRPr="00350F81">
              <w:t xml:space="preserve">  Air quality complaints have been managed in accordance with Chapter 7 of the </w:t>
            </w:r>
            <w:r w:rsidR="005F5CFB" w:rsidRPr="00350F81">
              <w:rPr>
                <w:i/>
              </w:rPr>
              <w:t>Road Traffic Air Quality Management Manual</w:t>
            </w:r>
            <w:r w:rsidR="005F5CFB" w:rsidRPr="00350F81">
              <w:t>.</w:t>
            </w:r>
          </w:p>
          <w:p w:rsidR="005F5CFB" w:rsidRPr="00350F81" w:rsidRDefault="003722D9" w:rsidP="001326D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95647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CFB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CFB" w:rsidRPr="00350F81">
              <w:t xml:space="preserve">  Unless permitted by the Principal's representative, burning of material has not be conducted. </w:t>
            </w:r>
          </w:p>
          <w:p w:rsidR="005F5CFB" w:rsidRPr="00350F81" w:rsidRDefault="003722D9" w:rsidP="001326DE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206667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CFB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5CFB" w:rsidRPr="00350F81">
              <w:t xml:space="preserve">  Air quality monitoring have been conducted in accordance with the current </w:t>
            </w:r>
            <w:proofErr w:type="spellStart"/>
            <w:r w:rsidR="005F5CFB">
              <w:t>a</w:t>
            </w:r>
            <w:r w:rsidR="005F5CFB" w:rsidRPr="00350F81">
              <w:t>ustralian</w:t>
            </w:r>
            <w:proofErr w:type="spellEnd"/>
            <w:r w:rsidR="005F5CFB" w:rsidRPr="00350F81">
              <w:t xml:space="preserve"> </w:t>
            </w:r>
            <w:r w:rsidR="005F5CFB">
              <w:t>s</w:t>
            </w:r>
            <w:r w:rsidR="005F5CFB" w:rsidRPr="00350F81">
              <w:t xml:space="preserve">tandard </w:t>
            </w:r>
            <w:r w:rsidR="005F5CFB">
              <w:t>m</w:t>
            </w:r>
            <w:r w:rsidR="005F5CFB" w:rsidRPr="00350F81">
              <w:t>easurement techniques.</w:t>
            </w:r>
          </w:p>
        </w:tc>
        <w:tc>
          <w:tcPr>
            <w:tcW w:w="1701" w:type="dxa"/>
            <w:vAlign w:val="top"/>
          </w:tcPr>
          <w:p w:rsidR="005F5CFB" w:rsidRDefault="005F5CFB" w:rsidP="001326DE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5F5CFB" w:rsidRDefault="005F5CFB" w:rsidP="001326DE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1326DE" w:rsidTr="001326DE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1326DE" w:rsidRDefault="001326DE" w:rsidP="001326DE">
            <w:pPr>
              <w:pStyle w:val="TableHeading"/>
              <w:widowControl w:val="0"/>
              <w:jc w:val="left"/>
            </w:pPr>
            <w:r>
              <w:lastRenderedPageBreak/>
              <w:t>Acid Sulphate Soils</w:t>
            </w:r>
          </w:p>
        </w:tc>
      </w:tr>
      <w:tr w:rsidR="001326DE" w:rsidTr="00714DC2">
        <w:tc>
          <w:tcPr>
            <w:tcW w:w="1276" w:type="dxa"/>
            <w:vAlign w:val="top"/>
          </w:tcPr>
          <w:p w:rsidR="001326DE" w:rsidRPr="00350F81" w:rsidRDefault="001326DE" w:rsidP="00B05B2E">
            <w:pPr>
              <w:pStyle w:val="TableBodyText"/>
            </w:pPr>
            <w:r w:rsidRPr="00350F81">
              <w:t xml:space="preserve">Cl 10.7.1 &amp; MRTS04 </w:t>
            </w:r>
          </w:p>
        </w:tc>
        <w:tc>
          <w:tcPr>
            <w:tcW w:w="5954" w:type="dxa"/>
            <w:vAlign w:val="top"/>
          </w:tcPr>
          <w:p w:rsidR="001326DE" w:rsidRPr="00350F81" w:rsidRDefault="003722D9" w:rsidP="00B05B2E">
            <w:pPr>
              <w:pStyle w:val="TableBodyText"/>
            </w:pPr>
            <w:sdt>
              <w:sdtPr>
                <w:id w:val="-193960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6DE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26DE" w:rsidRPr="00350F81">
              <w:t xml:space="preserve">  The Contractor managed actual or potential </w:t>
            </w:r>
            <w:r w:rsidR="001326DE">
              <w:t>a</w:t>
            </w:r>
            <w:r w:rsidR="001326DE" w:rsidRPr="00350F81">
              <w:t xml:space="preserve">cid </w:t>
            </w:r>
            <w:proofErr w:type="spellStart"/>
            <w:r w:rsidR="001326DE">
              <w:t>s</w:t>
            </w:r>
            <w:r w:rsidR="001326DE" w:rsidRPr="00350F81">
              <w:t>ulfate</w:t>
            </w:r>
            <w:proofErr w:type="spellEnd"/>
            <w:r w:rsidR="001326DE" w:rsidRPr="00350F81">
              <w:t xml:space="preserve"> </w:t>
            </w:r>
            <w:r w:rsidR="001326DE">
              <w:t>s</w:t>
            </w:r>
            <w:r w:rsidR="001326DE" w:rsidRPr="00350F81">
              <w:t xml:space="preserve">oils within the Site in accordance with the EMP (M), and </w:t>
            </w:r>
            <w:r w:rsidR="001326DE" w:rsidRPr="00350F81">
              <w:rPr>
                <w:i/>
              </w:rPr>
              <w:t>MRTS04 General Earthworks</w:t>
            </w:r>
            <w:r w:rsidR="001326DE" w:rsidRPr="00350F81">
              <w:t>.</w:t>
            </w:r>
          </w:p>
        </w:tc>
        <w:tc>
          <w:tcPr>
            <w:tcW w:w="1701" w:type="dxa"/>
            <w:vAlign w:val="top"/>
          </w:tcPr>
          <w:p w:rsidR="001326DE" w:rsidRDefault="001326DE" w:rsidP="001326DE">
            <w:pPr>
              <w:pStyle w:val="TableBodyText"/>
              <w:widowControl w:val="0"/>
            </w:pPr>
          </w:p>
        </w:tc>
        <w:tc>
          <w:tcPr>
            <w:tcW w:w="5061" w:type="dxa"/>
            <w:vAlign w:val="top"/>
          </w:tcPr>
          <w:p w:rsidR="001326DE" w:rsidRDefault="001326DE" w:rsidP="001326DE">
            <w:pPr>
              <w:pStyle w:val="TableBodyText"/>
              <w:widowControl w:val="0"/>
            </w:pPr>
          </w:p>
        </w:tc>
      </w:tr>
      <w:tr w:rsidR="00B05B2E" w:rsidTr="00B05B2E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B05B2E" w:rsidRDefault="00B05B2E" w:rsidP="000A1B9D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Contaminated Sites</w:t>
            </w:r>
          </w:p>
        </w:tc>
      </w:tr>
      <w:tr w:rsidR="00B05B2E" w:rsidTr="00714DC2">
        <w:tc>
          <w:tcPr>
            <w:tcW w:w="1276" w:type="dxa"/>
            <w:vAlign w:val="top"/>
          </w:tcPr>
          <w:p w:rsidR="00B05B2E" w:rsidRPr="00350F81" w:rsidRDefault="00B05B2E" w:rsidP="000A1B9D">
            <w:pPr>
              <w:pStyle w:val="TableBodyText"/>
              <w:keepNext w:val="0"/>
              <w:keepLines w:val="0"/>
              <w:widowControl w:val="0"/>
            </w:pPr>
            <w:r w:rsidRPr="00350F81">
              <w:t>Cl 10.8.1 &amp; MRTS04</w:t>
            </w:r>
          </w:p>
        </w:tc>
        <w:tc>
          <w:tcPr>
            <w:tcW w:w="5954" w:type="dxa"/>
            <w:vAlign w:val="top"/>
          </w:tcPr>
          <w:p w:rsidR="00B05B2E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34100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2E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5B2E" w:rsidRPr="00350F81">
              <w:t xml:space="preserve">  The Contractor complied with </w:t>
            </w:r>
            <w:r w:rsidR="00B05B2E">
              <w:t>c</w:t>
            </w:r>
            <w:r w:rsidR="00B05B2E" w:rsidRPr="00350F81">
              <w:t xml:space="preserve">ontaminated </w:t>
            </w:r>
            <w:r w:rsidR="00B05B2E">
              <w:t>s</w:t>
            </w:r>
            <w:r w:rsidR="00B05B2E" w:rsidRPr="00350F81">
              <w:t xml:space="preserve">ites requirements of the EMP (M), and requirements of </w:t>
            </w:r>
            <w:r w:rsidR="00B05B2E" w:rsidRPr="00350F81">
              <w:rPr>
                <w:i/>
              </w:rPr>
              <w:t>MRTS04 General Earthworks</w:t>
            </w:r>
            <w:r w:rsidR="00B05B2E" w:rsidRPr="00350F81">
              <w:t>, including CAC033M</w:t>
            </w:r>
            <w:r w:rsidR="00B05B2E">
              <w:t>;</w:t>
            </w:r>
          </w:p>
          <w:p w:rsidR="00B05B2E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34028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B2E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05B2E" w:rsidRPr="00350F81">
              <w:t xml:space="preserve">  Contaminated land monitoring conducted in accordance with the requirements the Principal specified or contained with the </w:t>
            </w:r>
            <w:r w:rsidR="00B05B2E">
              <w:t>s</w:t>
            </w:r>
            <w:r w:rsidR="00B05B2E" w:rsidRPr="00350F81">
              <w:t xml:space="preserve">ite </w:t>
            </w:r>
            <w:r w:rsidR="00B05B2E">
              <w:t>m</w:t>
            </w:r>
            <w:r w:rsidR="00B05B2E" w:rsidRPr="00350F81">
              <w:t xml:space="preserve">anagement </w:t>
            </w:r>
            <w:r w:rsidR="00B05B2E">
              <w:t>p</w:t>
            </w:r>
            <w:r w:rsidR="00B05B2E" w:rsidRPr="00350F81">
              <w:t>lan approved by DEHP.</w:t>
            </w:r>
          </w:p>
        </w:tc>
        <w:tc>
          <w:tcPr>
            <w:tcW w:w="1701" w:type="dxa"/>
            <w:vAlign w:val="top"/>
          </w:tcPr>
          <w:p w:rsidR="00B05B2E" w:rsidRDefault="00B05B2E" w:rsidP="000A1B9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B05B2E" w:rsidRDefault="00B05B2E" w:rsidP="000A1B9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05B2E" w:rsidTr="00B05B2E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B05B2E" w:rsidRDefault="00B05B2E" w:rsidP="000A1B9D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Native Fauna</w:t>
            </w:r>
          </w:p>
        </w:tc>
      </w:tr>
      <w:tr w:rsidR="000A1B9D" w:rsidTr="00714DC2">
        <w:tc>
          <w:tcPr>
            <w:tcW w:w="1276" w:type="dxa"/>
            <w:vAlign w:val="top"/>
          </w:tcPr>
          <w:p w:rsidR="000A1B9D" w:rsidRPr="00350F81" w:rsidRDefault="000A1B9D" w:rsidP="000A1B9D">
            <w:pPr>
              <w:pStyle w:val="TableBodyText"/>
              <w:keepNext w:val="0"/>
              <w:keepLines w:val="0"/>
              <w:widowControl w:val="0"/>
            </w:pPr>
            <w:r w:rsidRPr="00350F81">
              <w:t xml:space="preserve">Cl 10.9 </w:t>
            </w:r>
          </w:p>
        </w:tc>
        <w:tc>
          <w:tcPr>
            <w:tcW w:w="5954" w:type="dxa"/>
            <w:vAlign w:val="top"/>
          </w:tcPr>
          <w:p w:rsidR="000A1B9D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91535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9D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1B9D" w:rsidRPr="00350F81">
              <w:t xml:space="preserve">  Fauna is being managed in accordance with requirements of the EMP (M),</w:t>
            </w:r>
          </w:p>
          <w:p w:rsidR="000A1B9D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80365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9D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1B9D" w:rsidRPr="00350F81">
              <w:t xml:space="preserve">   Destruction of animal breeding places was undertaken </w:t>
            </w:r>
            <w:proofErr w:type="gramStart"/>
            <w:r w:rsidR="000A1B9D" w:rsidRPr="00350F81">
              <w:t>lawfully</w:t>
            </w:r>
            <w:proofErr w:type="gramEnd"/>
            <w:r w:rsidR="000A1B9D" w:rsidRPr="00350F81">
              <w:t xml:space="preserve"> and records have been provided to Administrator.</w:t>
            </w:r>
          </w:p>
          <w:p w:rsidR="000A1B9D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8523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9D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1B9D" w:rsidRPr="00350F81">
              <w:t xml:space="preserve">  Where operating under a SMP, records of monitoring and tampering data is recorded in the Register for tampering with animal breeding places.</w:t>
            </w:r>
          </w:p>
          <w:p w:rsidR="000A1B9D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4601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9D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1B9D" w:rsidRPr="00350F81">
              <w:t xml:space="preserve">  Where operating under a SMP, based on advice of the SQP, the Contractor has undertaken measures to either avoid or manage </w:t>
            </w:r>
            <w:proofErr w:type="gramStart"/>
            <w:r w:rsidR="000A1B9D" w:rsidRPr="00350F81">
              <w:t>or :where</w:t>
            </w:r>
            <w:proofErr w:type="gramEnd"/>
            <w:r w:rsidR="000A1B9D" w:rsidRPr="00350F81">
              <w:t xml:space="preserve"> avoidance not possible destroy breeding places &amp; remove eggs, or as last resort, to destroy eggs, young under a Damage Mitigation Permit.</w:t>
            </w:r>
          </w:p>
          <w:p w:rsidR="000A1B9D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6323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9D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1B9D" w:rsidRPr="00350F81">
              <w:t xml:space="preserve">  Waterway </w:t>
            </w:r>
            <w:r w:rsidR="000A1B9D">
              <w:t>b</w:t>
            </w:r>
            <w:r w:rsidR="000A1B9D" w:rsidRPr="00350F81">
              <w:t xml:space="preserve">arrier </w:t>
            </w:r>
            <w:r w:rsidR="000A1B9D">
              <w:t>w</w:t>
            </w:r>
            <w:r w:rsidR="000A1B9D" w:rsidRPr="00350F81">
              <w:t xml:space="preserve">orks are constructed, raised and modified in compliance with the Department of Agriculture and Forestry's </w:t>
            </w:r>
            <w:r w:rsidR="000A1B9D" w:rsidRPr="00350F81">
              <w:rPr>
                <w:i/>
              </w:rPr>
              <w:t>Accepted development requirements for operational works that is constructing or raising waterway barrier works (2017)</w:t>
            </w:r>
            <w:r w:rsidR="000A1B9D" w:rsidRPr="00350F81">
              <w:t>, OR</w:t>
            </w:r>
          </w:p>
          <w:p w:rsidR="000A1B9D" w:rsidRPr="00350F81" w:rsidRDefault="003722D9" w:rsidP="000A1B9D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51187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9D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1B9D" w:rsidRPr="00350F81">
              <w:t xml:space="preserve">  Where compliance with Accepted Development is not practicable, the Contractor has obtained a Development Approval and complied with conditions.</w:t>
            </w:r>
          </w:p>
        </w:tc>
        <w:tc>
          <w:tcPr>
            <w:tcW w:w="1701" w:type="dxa"/>
            <w:vAlign w:val="top"/>
          </w:tcPr>
          <w:p w:rsidR="000A1B9D" w:rsidRDefault="000A1B9D" w:rsidP="000A1B9D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0A1B9D" w:rsidRDefault="000A1B9D" w:rsidP="000A1B9D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FC1240" w:rsidTr="00FC1240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FC1240" w:rsidRDefault="00FC1240" w:rsidP="00FC1240">
            <w:pPr>
              <w:pStyle w:val="TableHeading"/>
              <w:jc w:val="left"/>
            </w:pPr>
            <w:r>
              <w:lastRenderedPageBreak/>
              <w:t>Vegetation</w:t>
            </w:r>
          </w:p>
        </w:tc>
      </w:tr>
      <w:tr w:rsidR="00FC1240" w:rsidTr="00714DC2">
        <w:tc>
          <w:tcPr>
            <w:tcW w:w="1276" w:type="dxa"/>
            <w:vAlign w:val="top"/>
          </w:tcPr>
          <w:p w:rsidR="00FC1240" w:rsidRPr="00350F81" w:rsidRDefault="00FC1240" w:rsidP="00FC1240">
            <w:pPr>
              <w:pStyle w:val="TableBodyText"/>
            </w:pPr>
            <w:r w:rsidRPr="00350F81">
              <w:t>Cl 10.10</w:t>
            </w:r>
          </w:p>
        </w:tc>
        <w:tc>
          <w:tcPr>
            <w:tcW w:w="5954" w:type="dxa"/>
            <w:vAlign w:val="top"/>
          </w:tcPr>
          <w:p w:rsidR="00FC1240" w:rsidRPr="00FB01E3" w:rsidRDefault="003722D9" w:rsidP="00FC1240">
            <w:pPr>
              <w:pStyle w:val="TableBodyText"/>
              <w:rPr>
                <w:color w:val="7F7F7F" w:themeColor="text1" w:themeTint="80"/>
              </w:rPr>
            </w:pPr>
            <w:sdt>
              <w:sdtPr>
                <w:id w:val="-63218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240" w:rsidRPr="00FB01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1240" w:rsidRPr="00FB01E3">
              <w:t xml:space="preserve">  The Contractor managed vegetation clearing requirements in accordance with the Contract EMP (M), including </w:t>
            </w:r>
            <w:r w:rsidR="00FC1240">
              <w:t>a</w:t>
            </w:r>
            <w:r w:rsidR="00FC1240" w:rsidRPr="00FB01E3">
              <w:t>pprovals and/or conditions resulting from site specific environmental assessments, Clause 7.</w:t>
            </w:r>
          </w:p>
          <w:p w:rsidR="00FC1240" w:rsidRPr="00FB01E3" w:rsidRDefault="003722D9" w:rsidP="00FC1240">
            <w:pPr>
              <w:pStyle w:val="TableBodyText"/>
            </w:pPr>
            <w:sdt>
              <w:sdtPr>
                <w:id w:val="55512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240" w:rsidRPr="00FB01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1240" w:rsidRPr="00FB01E3">
              <w:t xml:space="preserve">  Vegetation clearing beyond the clear zone was deemed suitable by the Principal's Representative.</w:t>
            </w:r>
          </w:p>
          <w:p w:rsidR="00FC1240" w:rsidRPr="00FB01E3" w:rsidRDefault="00FC1240" w:rsidP="00FC1240">
            <w:pPr>
              <w:pStyle w:val="TableBodyText"/>
              <w:numPr>
                <w:ilvl w:val="0"/>
                <w:numId w:val="29"/>
              </w:numPr>
              <w:ind w:left="464" w:hanging="283"/>
            </w:pPr>
            <w:r w:rsidRPr="00FB01E3">
              <w:t>If deemed unsuitable by the Principal's Representative, it must be reported as non-conformance.</w:t>
            </w:r>
          </w:p>
          <w:p w:rsidR="00FC1240" w:rsidRPr="00FB01E3" w:rsidRDefault="003722D9" w:rsidP="00FC1240">
            <w:pPr>
              <w:pStyle w:val="TableBodyText"/>
            </w:pPr>
            <w:sdt>
              <w:sdtPr>
                <w:id w:val="-49040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240" w:rsidRPr="00FB01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1240" w:rsidRPr="00FB01E3">
              <w:t xml:space="preserve">  Monitoring was undertaken in accordance with the requirements the Principal specifies or contained with the </w:t>
            </w:r>
            <w:r w:rsidR="00FC1240">
              <w:t>SMP</w:t>
            </w:r>
            <w:r w:rsidR="00FC1240" w:rsidRPr="00FB01E3">
              <w:t xml:space="preserve"> approved by DEHP.</w:t>
            </w:r>
          </w:p>
        </w:tc>
        <w:tc>
          <w:tcPr>
            <w:tcW w:w="1701" w:type="dxa"/>
            <w:vAlign w:val="top"/>
          </w:tcPr>
          <w:p w:rsidR="00FC1240" w:rsidRDefault="00FC1240" w:rsidP="00FC1240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FC1240" w:rsidRDefault="00FC1240" w:rsidP="00FC1240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96097" w:rsidTr="00D96097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D96097" w:rsidRDefault="00D96097" w:rsidP="00D96097">
            <w:pPr>
              <w:pStyle w:val="TableHeading"/>
              <w:jc w:val="left"/>
            </w:pPr>
            <w:r>
              <w:t>Biosecurity</w:t>
            </w:r>
          </w:p>
        </w:tc>
      </w:tr>
      <w:tr w:rsidR="00D96097" w:rsidTr="00714DC2">
        <w:tc>
          <w:tcPr>
            <w:tcW w:w="1276" w:type="dxa"/>
            <w:vAlign w:val="top"/>
          </w:tcPr>
          <w:p w:rsidR="00D96097" w:rsidRPr="00350F81" w:rsidRDefault="00D96097" w:rsidP="00D96097">
            <w:pPr>
              <w:pStyle w:val="TableBodyText"/>
              <w:keepNext w:val="0"/>
              <w:keepLines w:val="0"/>
              <w:widowControl w:val="0"/>
            </w:pPr>
            <w:r w:rsidRPr="00350F81">
              <w:t>Cl 10.11</w:t>
            </w:r>
          </w:p>
        </w:tc>
        <w:tc>
          <w:tcPr>
            <w:tcW w:w="5954" w:type="dxa"/>
            <w:vAlign w:val="top"/>
          </w:tcPr>
          <w:p w:rsidR="00D96097" w:rsidRPr="00350F81" w:rsidRDefault="00D96097" w:rsidP="00D96097">
            <w:pPr>
              <w:pStyle w:val="TableBodyText"/>
              <w:keepNext w:val="0"/>
              <w:keepLines w:val="0"/>
              <w:widowControl w:val="0"/>
            </w:pPr>
            <w:r w:rsidRPr="00350F81">
              <w:t>The Contractor: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24989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implemented reasonable and practicable management measures to manage prohibited and restricted biosecurity matter.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6759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managed the movement of biosecurity matter carriers across biosecurity zones,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24307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obtained all necessary certificates and permits, and complied with the requirements,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66227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documented all vehicle and plant </w:t>
            </w:r>
            <w:proofErr w:type="spellStart"/>
            <w:r w:rsidR="00D96097" w:rsidRPr="00350F81">
              <w:t>cleandowns</w:t>
            </w:r>
            <w:proofErr w:type="spellEnd"/>
            <w:r w:rsidR="00D96097" w:rsidRPr="00350F81">
              <w:t xml:space="preserve"> in accordance with Cl 10.11.2 (b),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9861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maintained </w:t>
            </w:r>
            <w:proofErr w:type="spellStart"/>
            <w:r w:rsidR="00D96097" w:rsidRPr="00350F81">
              <w:t>cleandown</w:t>
            </w:r>
            <w:proofErr w:type="spellEnd"/>
            <w:r w:rsidR="00D96097" w:rsidRPr="00350F81">
              <w:t xml:space="preserve"> facilities in accordance with 10.11.2 (c),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44804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complied with supplied or obtained and complied with own Biosecurity Instrument Permit,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87908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isolated previously unidentified biosecurity matter on or adjacent to site, implemented management measures, and notified the Principal’s Representative,</w:t>
            </w:r>
          </w:p>
          <w:p w:rsidR="00D96097" w:rsidRPr="00350F81" w:rsidRDefault="003722D9" w:rsidP="00D96097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27716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ensured use of registered chemicals,</w:t>
            </w:r>
          </w:p>
          <w:p w:rsidR="00D96097" w:rsidRPr="00350F81" w:rsidRDefault="003722D9" w:rsidP="00D96097">
            <w:pPr>
              <w:pStyle w:val="TableBodyText"/>
              <w:widowControl w:val="0"/>
            </w:pPr>
            <w:sdt>
              <w:sdtPr>
                <w:id w:val="191805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prepared an integrated pest management plan, and</w:t>
            </w:r>
          </w:p>
          <w:p w:rsidR="00D96097" w:rsidRPr="00FB01E3" w:rsidRDefault="003722D9" w:rsidP="00D96097">
            <w:pPr>
              <w:pStyle w:val="TableBodyText"/>
              <w:widowControl w:val="0"/>
            </w:pPr>
            <w:sdt>
              <w:sdtPr>
                <w:id w:val="35099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monitored the Site for new infestations of biosecurity matters.</w:t>
            </w:r>
          </w:p>
        </w:tc>
        <w:tc>
          <w:tcPr>
            <w:tcW w:w="1701" w:type="dxa"/>
            <w:vAlign w:val="top"/>
          </w:tcPr>
          <w:p w:rsidR="00D96097" w:rsidRDefault="00D96097" w:rsidP="00D9609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D96097" w:rsidRDefault="00D96097" w:rsidP="00D9609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96097" w:rsidTr="00D96097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D96097" w:rsidRDefault="00D96097" w:rsidP="00D96097">
            <w:pPr>
              <w:pStyle w:val="TableHeading"/>
              <w:jc w:val="left"/>
            </w:pPr>
            <w:r>
              <w:t>Waste</w:t>
            </w:r>
          </w:p>
        </w:tc>
      </w:tr>
      <w:tr w:rsidR="00D96097" w:rsidTr="00714DC2">
        <w:tc>
          <w:tcPr>
            <w:tcW w:w="1276" w:type="dxa"/>
            <w:vAlign w:val="top"/>
          </w:tcPr>
          <w:p w:rsidR="00D96097" w:rsidRPr="00350F81" w:rsidRDefault="00D96097" w:rsidP="00D96097">
            <w:pPr>
              <w:pStyle w:val="TableBodyText"/>
            </w:pPr>
            <w:r w:rsidRPr="00350F81">
              <w:t>Cl 10.12</w:t>
            </w:r>
          </w:p>
        </w:tc>
        <w:tc>
          <w:tcPr>
            <w:tcW w:w="5954" w:type="dxa"/>
            <w:vAlign w:val="top"/>
          </w:tcPr>
          <w:p w:rsidR="00D96097" w:rsidRPr="00350F81" w:rsidRDefault="00D96097" w:rsidP="00D96097">
            <w:pPr>
              <w:pStyle w:val="TableBodyText"/>
            </w:pPr>
            <w:r w:rsidRPr="00350F81">
              <w:t>The Contractor:</w:t>
            </w:r>
          </w:p>
          <w:p w:rsidR="00D96097" w:rsidRPr="00350F81" w:rsidRDefault="003722D9" w:rsidP="00D96097">
            <w:pPr>
              <w:pStyle w:val="TableBodyText"/>
            </w:pPr>
            <w:sdt>
              <w:sdtPr>
                <w:id w:val="-4622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recorded into the TMR Waste Register waste generated, disposed, recycled and reused by the Work under the Contract,</w:t>
            </w:r>
          </w:p>
          <w:p w:rsidR="00D96097" w:rsidRPr="00350F81" w:rsidRDefault="003722D9" w:rsidP="00D96097">
            <w:pPr>
              <w:pStyle w:val="TableBodyText"/>
            </w:pPr>
            <w:sdt>
              <w:sdtPr>
                <w:id w:val="-65698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097" w:rsidRPr="00350F81">
              <w:t xml:space="preserve">  retained and provided all documents issued in relation to </w:t>
            </w:r>
            <w:r w:rsidR="00D96097">
              <w:t>t</w:t>
            </w:r>
            <w:r w:rsidR="00D96097" w:rsidRPr="00350F81">
              <w:t xml:space="preserve">rackable </w:t>
            </w:r>
            <w:r w:rsidR="00D96097">
              <w:t>w</w:t>
            </w:r>
            <w:r w:rsidR="00D96097" w:rsidRPr="00350F81">
              <w:t>aste transportation and disposal processes.</w:t>
            </w:r>
          </w:p>
        </w:tc>
        <w:tc>
          <w:tcPr>
            <w:tcW w:w="1701" w:type="dxa"/>
            <w:vAlign w:val="top"/>
          </w:tcPr>
          <w:p w:rsidR="00D96097" w:rsidRDefault="00D96097" w:rsidP="00D9609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D96097" w:rsidRDefault="00D96097" w:rsidP="00D9609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96097" w:rsidTr="00D96097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D96097" w:rsidRDefault="00D96097" w:rsidP="008C47FC">
            <w:pPr>
              <w:pStyle w:val="TableHeading"/>
              <w:keepNext w:val="0"/>
              <w:keepLines w:val="0"/>
              <w:widowControl w:val="0"/>
              <w:jc w:val="left"/>
            </w:pPr>
            <w:r>
              <w:t>Chemicals and Spills</w:t>
            </w:r>
          </w:p>
        </w:tc>
      </w:tr>
      <w:tr w:rsidR="00D96097" w:rsidTr="00714DC2">
        <w:tc>
          <w:tcPr>
            <w:tcW w:w="1276" w:type="dxa"/>
            <w:vAlign w:val="top"/>
          </w:tcPr>
          <w:p w:rsidR="00D96097" w:rsidRPr="00350F81" w:rsidRDefault="00D96097" w:rsidP="008C47FC">
            <w:pPr>
              <w:pStyle w:val="TableBodyText"/>
              <w:keepNext w:val="0"/>
              <w:keepLines w:val="0"/>
              <w:widowControl w:val="0"/>
            </w:pPr>
            <w:r w:rsidRPr="00350F81">
              <w:t>Cl 10.13</w:t>
            </w:r>
          </w:p>
        </w:tc>
        <w:tc>
          <w:tcPr>
            <w:tcW w:w="5954" w:type="dxa"/>
            <w:vAlign w:val="top"/>
          </w:tcPr>
          <w:p w:rsidR="00D96097" w:rsidRPr="00350F81" w:rsidRDefault="00D96097" w:rsidP="008C47FC">
            <w:pPr>
              <w:pStyle w:val="TableBodyText"/>
              <w:keepNext w:val="0"/>
              <w:keepLines w:val="0"/>
              <w:widowControl w:val="0"/>
            </w:pPr>
            <w:r w:rsidRPr="00350F81">
              <w:t xml:space="preserve">The Contractor: 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20470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</w:t>
            </w:r>
            <w:proofErr w:type="spellStart"/>
            <w:r w:rsidR="00D96097" w:rsidRPr="00350F81">
              <w:t>managemed</w:t>
            </w:r>
            <w:proofErr w:type="spellEnd"/>
            <w:r w:rsidR="00D96097" w:rsidRPr="00350F81">
              <w:t xml:space="preserve"> hazardous substances and dangerous goods and complied with AS 1940 for large (&gt;10,00L) storages,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95671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ensured spill response equipment is available on Site for use in an </w:t>
            </w:r>
            <w:proofErr w:type="spellStart"/>
            <w:proofErr w:type="gramStart"/>
            <w:r w:rsidR="00D96097" w:rsidRPr="00350F81">
              <w:t>emergency,</w:t>
            </w:r>
            <w:r w:rsidR="00D96097" w:rsidRPr="00350F81">
              <w:rPr>
                <w:rFonts w:eastAsia="MS Gothic"/>
              </w:rPr>
              <w:t>and</w:t>
            </w:r>
            <w:r w:rsidR="00D96097" w:rsidRPr="00350F81">
              <w:t>nd</w:t>
            </w:r>
            <w:proofErr w:type="spellEnd"/>
            <w:proofErr w:type="gramEnd"/>
            <w:r w:rsidR="00D96097" w:rsidRPr="00350F81">
              <w:t>, is commensurate with the Site location, topographical features, type and quantity of chemicals and fuels being stored on Site,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99546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promptly remediated any contamination resulting from spills, leaks and discharges to a condition </w:t>
            </w:r>
            <w:proofErr w:type="gramStart"/>
            <w:r w:rsidR="00D96097" w:rsidRPr="00350F81">
              <w:t>similar to</w:t>
            </w:r>
            <w:proofErr w:type="gramEnd"/>
            <w:r w:rsidR="00D96097" w:rsidRPr="00350F81">
              <w:t xml:space="preserve"> that existing before the contamination and to the Principal's Representative's satisfaction,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7226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appropriately maintained machinery and there is no evidence of leaks of oil, fuel or hydraulic fluid.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45290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conducted all pre-coating of aggregates on site unless otherwise approved by the Principal’s Representative.</w:t>
            </w:r>
            <w:r w:rsidR="00D96097">
              <w:br/>
            </w:r>
          </w:p>
          <w:p w:rsidR="00D96097" w:rsidRPr="00350F81" w:rsidRDefault="00D96097" w:rsidP="008C47FC">
            <w:pPr>
              <w:pStyle w:val="TableBodyText"/>
              <w:keepNext w:val="0"/>
              <w:keepLines w:val="0"/>
              <w:widowControl w:val="0"/>
            </w:pPr>
            <w:r w:rsidRPr="00350F81">
              <w:t>Ensured that refuelling: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95015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 occurred away from </w:t>
            </w:r>
            <w:r w:rsidR="00D96097">
              <w:t>w</w:t>
            </w:r>
            <w:r w:rsidR="00D96097" w:rsidRPr="00350F81">
              <w:t xml:space="preserve">aterways unless for tracked machinery and contingency plan </w:t>
            </w:r>
            <w:r w:rsidR="00D96097">
              <w:t>m</w:t>
            </w:r>
            <w:r w:rsidR="00D96097" w:rsidRPr="00350F81">
              <w:t xml:space="preserve">anagement </w:t>
            </w:r>
            <w:r w:rsidR="00D96097">
              <w:t>m</w:t>
            </w:r>
            <w:r w:rsidR="00D96097" w:rsidRPr="00350F81">
              <w:t>easures are available in the immediate area,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85904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activity </w:t>
            </w:r>
            <w:proofErr w:type="gramStart"/>
            <w:r w:rsidR="00D96097" w:rsidRPr="00350F81">
              <w:t>is supervised at all times</w:t>
            </w:r>
            <w:proofErr w:type="gramEnd"/>
            <w:r w:rsidR="00D96097" w:rsidRPr="00350F81">
              <w:t>, and</w:t>
            </w:r>
          </w:p>
          <w:p w:rsidR="00D96097" w:rsidRPr="00350F81" w:rsidRDefault="003722D9" w:rsidP="008C47FC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88254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097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6097" w:rsidRPr="00350F81">
              <w:t xml:space="preserve">  hoses are fitted with a stop valve at the nozzle end.</w:t>
            </w:r>
          </w:p>
        </w:tc>
        <w:tc>
          <w:tcPr>
            <w:tcW w:w="1701" w:type="dxa"/>
            <w:vAlign w:val="top"/>
          </w:tcPr>
          <w:p w:rsidR="00D96097" w:rsidRDefault="00D96097" w:rsidP="008C47FC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D96097" w:rsidRDefault="00D96097" w:rsidP="008C47FC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DB3E5E" w:rsidTr="00DB3E5E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DB3E5E" w:rsidRDefault="00DB3E5E" w:rsidP="00DB3E5E">
            <w:pPr>
              <w:pStyle w:val="TableHeading"/>
              <w:jc w:val="left"/>
            </w:pPr>
            <w:r>
              <w:lastRenderedPageBreak/>
              <w:t>Sourcing of Construction Material (Non-commercial and non-portable sources)</w:t>
            </w:r>
          </w:p>
        </w:tc>
      </w:tr>
      <w:tr w:rsidR="00DB3E5E" w:rsidTr="00714DC2">
        <w:tc>
          <w:tcPr>
            <w:tcW w:w="1276" w:type="dxa"/>
            <w:vAlign w:val="top"/>
          </w:tcPr>
          <w:p w:rsidR="00DB3E5E" w:rsidRPr="00350F81" w:rsidRDefault="00DB3E5E" w:rsidP="00DB3E5E">
            <w:pPr>
              <w:pStyle w:val="TableBodyText"/>
            </w:pPr>
            <w:r w:rsidRPr="00350F81">
              <w:t>Cl 10.14</w:t>
            </w:r>
          </w:p>
        </w:tc>
        <w:tc>
          <w:tcPr>
            <w:tcW w:w="5954" w:type="dxa"/>
            <w:vAlign w:val="top"/>
          </w:tcPr>
          <w:p w:rsidR="00DB3E5E" w:rsidRPr="00350F81" w:rsidRDefault="00DB3E5E" w:rsidP="00DB3E5E">
            <w:pPr>
              <w:pStyle w:val="TableBodyText"/>
            </w:pPr>
            <w:r w:rsidRPr="00350F81">
              <w:t>The Contractor:</w:t>
            </w:r>
          </w:p>
          <w:p w:rsidR="00DB3E5E" w:rsidRPr="00350F81" w:rsidRDefault="003722D9" w:rsidP="00DB3E5E">
            <w:pPr>
              <w:pStyle w:val="TableBodyText"/>
            </w:pPr>
            <w:sdt>
              <w:sdtPr>
                <w:id w:val="-25914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5E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E5E" w:rsidRPr="00350F81">
              <w:t xml:space="preserve">  obtained all necessary </w:t>
            </w:r>
            <w:r w:rsidR="00DB3E5E">
              <w:t>e</w:t>
            </w:r>
            <w:r w:rsidR="00DB3E5E" w:rsidRPr="00350F81">
              <w:t xml:space="preserve">nvironmental </w:t>
            </w:r>
            <w:r w:rsidR="00DB3E5E">
              <w:t>a</w:t>
            </w:r>
            <w:r w:rsidR="00DB3E5E" w:rsidRPr="00350F81">
              <w:t>pprovals for relevant material sources including water and gravel resources or sourcing from suitably commercial/licensed Suppliers,</w:t>
            </w:r>
          </w:p>
          <w:p w:rsidR="00DB3E5E" w:rsidRPr="00350F81" w:rsidRDefault="003722D9" w:rsidP="00DB3E5E">
            <w:pPr>
              <w:pStyle w:val="TableBodyText"/>
            </w:pPr>
            <w:sdt>
              <w:sdtPr>
                <w:id w:val="99314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5E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E5E" w:rsidRPr="00350F81">
              <w:t xml:space="preserve">  maintained volumetric and photographic records of material sourced and supplied under the Contract from each source as well as other records required for compliance with </w:t>
            </w:r>
            <w:r w:rsidR="00DB3E5E">
              <w:t>a</w:t>
            </w:r>
            <w:r w:rsidR="00DB3E5E" w:rsidRPr="00350F81">
              <w:t>pprovals.</w:t>
            </w:r>
          </w:p>
          <w:p w:rsidR="00DB3E5E" w:rsidRPr="00350F81" w:rsidRDefault="003722D9" w:rsidP="00DB3E5E">
            <w:pPr>
              <w:pStyle w:val="TableBodyText"/>
            </w:pPr>
            <w:sdt>
              <w:sdtPr>
                <w:id w:val="-18954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5E" w:rsidRPr="00350F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E5E" w:rsidRPr="00350F81">
              <w:t xml:space="preserve">  monitored water source used for construction to ensure compliance with the </w:t>
            </w:r>
            <w:r w:rsidR="00DB3E5E" w:rsidRPr="00350F81">
              <w:rPr>
                <w:i/>
              </w:rPr>
              <w:t>Exemption Requirements for the taking of water without entitlement (WSS/2013/666)</w:t>
            </w:r>
            <w:r w:rsidR="00DB3E5E" w:rsidRPr="00350F81">
              <w:t xml:space="preserve"> and other applicable </w:t>
            </w:r>
            <w:r w:rsidR="00DB3E5E">
              <w:t>a</w:t>
            </w:r>
            <w:r w:rsidR="00DB3E5E" w:rsidRPr="00350F81">
              <w:t>pprovals.</w:t>
            </w:r>
          </w:p>
          <w:p w:rsidR="00DB3E5E" w:rsidRPr="00DC254E" w:rsidRDefault="00DB3E5E" w:rsidP="00DB3E5E">
            <w:pPr>
              <w:pStyle w:val="TableBodyText"/>
            </w:pPr>
            <w:r w:rsidRPr="00350F81">
              <w:t>Includes monitoring of water levels in a non-flowing source against a depth gauge or suitable alternative and recording percentage (%) of full capacity.</w:t>
            </w:r>
          </w:p>
          <w:p w:rsidR="00DB3E5E" w:rsidRPr="00350F81" w:rsidRDefault="003722D9" w:rsidP="00DB3E5E">
            <w:pPr>
              <w:pStyle w:val="TableBodyText"/>
            </w:pPr>
            <w:sdt>
              <w:sdtPr>
                <w:id w:val="-155045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E5E" w:rsidRPr="00350F81">
              <w:t xml:space="preserve">  </w:t>
            </w:r>
            <w:r w:rsidR="00DB3E5E">
              <w:t>f</w:t>
            </w:r>
            <w:r w:rsidR="00DB3E5E" w:rsidRPr="00350F81">
              <w:t>or flowing sources, monitoring includes flow rate and whether flows cease during Works under the Contract.</w:t>
            </w:r>
          </w:p>
        </w:tc>
        <w:tc>
          <w:tcPr>
            <w:tcW w:w="1701" w:type="dxa"/>
            <w:vAlign w:val="top"/>
          </w:tcPr>
          <w:p w:rsidR="00DB3E5E" w:rsidRDefault="00DB3E5E" w:rsidP="00DB3E5E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DB3E5E" w:rsidRDefault="00DB3E5E" w:rsidP="00DB3E5E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:rsidR="00336887" w:rsidRDefault="00336887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1701"/>
        <w:gridCol w:w="5061"/>
      </w:tblGrid>
      <w:tr w:rsidR="00336887" w:rsidTr="00336887">
        <w:tc>
          <w:tcPr>
            <w:tcW w:w="13992" w:type="dxa"/>
            <w:gridSpan w:val="4"/>
            <w:shd w:val="clear" w:color="auto" w:fill="F2F2F2" w:themeFill="background1" w:themeFillShade="F2"/>
            <w:vAlign w:val="top"/>
          </w:tcPr>
          <w:p w:rsidR="00336887" w:rsidRDefault="00336887" w:rsidP="00336887">
            <w:pPr>
              <w:pStyle w:val="TableHeading"/>
              <w:jc w:val="left"/>
            </w:pPr>
            <w:r>
              <w:t>RoadTek – Specific Requirements</w:t>
            </w:r>
          </w:p>
        </w:tc>
      </w:tr>
      <w:tr w:rsidR="00336887" w:rsidTr="00714DC2">
        <w:tc>
          <w:tcPr>
            <w:tcW w:w="1276" w:type="dxa"/>
            <w:vAlign w:val="top"/>
          </w:tcPr>
          <w:p w:rsidR="00336887" w:rsidRPr="00417B48" w:rsidRDefault="00336887" w:rsidP="00336887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954" w:type="dxa"/>
            <w:vAlign w:val="top"/>
          </w:tcPr>
          <w:p w:rsidR="00336887" w:rsidRPr="00B95F33" w:rsidRDefault="00336887" w:rsidP="00336887">
            <w:pPr>
              <w:pStyle w:val="BodyText"/>
            </w:pPr>
            <w:r w:rsidRPr="00B95F33">
              <w:t>Flood hazard appropriately assessed and managed</w:t>
            </w:r>
          </w:p>
        </w:tc>
        <w:tc>
          <w:tcPr>
            <w:tcW w:w="170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36887" w:rsidTr="00714DC2">
        <w:tc>
          <w:tcPr>
            <w:tcW w:w="1276" w:type="dxa"/>
            <w:vAlign w:val="top"/>
          </w:tcPr>
          <w:p w:rsidR="00336887" w:rsidRPr="00417B48" w:rsidRDefault="00336887" w:rsidP="00336887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954" w:type="dxa"/>
            <w:vAlign w:val="top"/>
          </w:tcPr>
          <w:p w:rsidR="00336887" w:rsidRPr="00B95F33" w:rsidRDefault="00336887" w:rsidP="00336887">
            <w:pPr>
              <w:pStyle w:val="BodyText"/>
            </w:pPr>
            <w:r w:rsidRPr="00B95F33">
              <w:t xml:space="preserve">Scope changes have been appropriately </w:t>
            </w:r>
            <w:proofErr w:type="gramStart"/>
            <w:r w:rsidRPr="00B95F33">
              <w:t>managed</w:t>
            </w:r>
            <w:proofErr w:type="gramEnd"/>
            <w:r w:rsidRPr="00B95F33">
              <w:t xml:space="preserve"> and documentation amended as required</w:t>
            </w:r>
          </w:p>
        </w:tc>
        <w:tc>
          <w:tcPr>
            <w:tcW w:w="170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36887" w:rsidTr="00714DC2">
        <w:tc>
          <w:tcPr>
            <w:tcW w:w="1276" w:type="dxa"/>
            <w:vAlign w:val="top"/>
          </w:tcPr>
          <w:p w:rsidR="00336887" w:rsidRPr="00417B48" w:rsidRDefault="00336887" w:rsidP="00336887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954" w:type="dxa"/>
            <w:vAlign w:val="top"/>
          </w:tcPr>
          <w:p w:rsidR="00336887" w:rsidRPr="00B95F33" w:rsidRDefault="00336887" w:rsidP="00336887">
            <w:pPr>
              <w:pStyle w:val="BodyText"/>
            </w:pPr>
            <w:proofErr w:type="spellStart"/>
            <w:r w:rsidRPr="00B95F33">
              <w:t>RoadTek’s</w:t>
            </w:r>
            <w:proofErr w:type="spellEnd"/>
            <w:r w:rsidRPr="00B95F33">
              <w:t xml:space="preserve"> Environmental policy and certification requirements understood </w:t>
            </w:r>
          </w:p>
        </w:tc>
        <w:tc>
          <w:tcPr>
            <w:tcW w:w="170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336887" w:rsidTr="00714DC2">
        <w:tc>
          <w:tcPr>
            <w:tcW w:w="1276" w:type="dxa"/>
            <w:vAlign w:val="top"/>
          </w:tcPr>
          <w:p w:rsidR="00336887" w:rsidRPr="00417B48" w:rsidRDefault="00336887" w:rsidP="00336887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5954" w:type="dxa"/>
            <w:vAlign w:val="top"/>
          </w:tcPr>
          <w:p w:rsidR="00336887" w:rsidRPr="00B95F33" w:rsidRDefault="00336887" w:rsidP="00336887">
            <w:pPr>
              <w:pStyle w:val="BodyText"/>
            </w:pPr>
            <w:r w:rsidRPr="00B95F33">
              <w:t>Is a trained Environmental Representative assigned to, and actively engaged on the project?</w:t>
            </w:r>
          </w:p>
        </w:tc>
        <w:tc>
          <w:tcPr>
            <w:tcW w:w="170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5061" w:type="dxa"/>
            <w:vAlign w:val="top"/>
          </w:tcPr>
          <w:p w:rsidR="00336887" w:rsidRDefault="00336887" w:rsidP="00336887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:rsidR="00336887" w:rsidRDefault="00336887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298"/>
      </w:tblGrid>
      <w:tr w:rsidR="00336887" w:rsidTr="00F507A2">
        <w:tc>
          <w:tcPr>
            <w:tcW w:w="13992" w:type="dxa"/>
            <w:gridSpan w:val="2"/>
            <w:shd w:val="clear" w:color="auto" w:fill="F2F2F2" w:themeFill="background1" w:themeFillShade="F2"/>
            <w:vAlign w:val="top"/>
          </w:tcPr>
          <w:p w:rsidR="00336887" w:rsidRDefault="00336887" w:rsidP="00336887">
            <w:pPr>
              <w:pStyle w:val="TableHeading"/>
              <w:jc w:val="left"/>
            </w:pPr>
            <w:r>
              <w:lastRenderedPageBreak/>
              <w:t>Definitions</w:t>
            </w:r>
            <w:r w:rsidR="00F507A2">
              <w:t>:</w:t>
            </w:r>
          </w:p>
        </w:tc>
      </w:tr>
      <w:tr w:rsidR="00336887" w:rsidTr="00F507A2">
        <w:tc>
          <w:tcPr>
            <w:tcW w:w="2694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>Conformance (C)</w:t>
            </w:r>
          </w:p>
        </w:tc>
        <w:tc>
          <w:tcPr>
            <w:tcW w:w="11298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>Fulfilment of a requirement, either contractual or legislative</w:t>
            </w:r>
          </w:p>
        </w:tc>
      </w:tr>
      <w:tr w:rsidR="00336887" w:rsidTr="00F507A2">
        <w:tc>
          <w:tcPr>
            <w:tcW w:w="2694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>Non-conformance (NC)</w:t>
            </w:r>
          </w:p>
        </w:tc>
        <w:tc>
          <w:tcPr>
            <w:tcW w:w="11298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 xml:space="preserve">A failure to comply with a requirement of </w:t>
            </w:r>
            <w:r>
              <w:t>C</w:t>
            </w:r>
            <w:r w:rsidRPr="00FB60B9">
              <w:t>ontract.</w:t>
            </w:r>
          </w:p>
        </w:tc>
      </w:tr>
      <w:tr w:rsidR="00336887" w:rsidTr="00F507A2">
        <w:tc>
          <w:tcPr>
            <w:tcW w:w="2694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>Not Fully Verifiable (NFV)</w:t>
            </w:r>
          </w:p>
        </w:tc>
        <w:tc>
          <w:tcPr>
            <w:tcW w:w="11298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>There was insufficient evidence to determine conformance or non-conformance.</w:t>
            </w:r>
          </w:p>
        </w:tc>
      </w:tr>
      <w:tr w:rsidR="00336887" w:rsidTr="00F507A2">
        <w:tc>
          <w:tcPr>
            <w:tcW w:w="2694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>Observation (O)</w:t>
            </w:r>
          </w:p>
        </w:tc>
        <w:tc>
          <w:tcPr>
            <w:tcW w:w="11298" w:type="dxa"/>
            <w:vAlign w:val="top"/>
          </w:tcPr>
          <w:p w:rsidR="00336887" w:rsidRPr="00FB60B9" w:rsidRDefault="00336887" w:rsidP="00336887">
            <w:pPr>
              <w:pStyle w:val="BodyText"/>
            </w:pPr>
            <w:r w:rsidRPr="00FB60B9">
              <w:t>A positive or negative comment of the auditor based on evidence and/or an observation made during the audit. Observations may or may not suggest corrective actions.</w:t>
            </w:r>
          </w:p>
        </w:tc>
      </w:tr>
    </w:tbl>
    <w:p w:rsidR="0061185E" w:rsidRDefault="0061185E" w:rsidP="00C957B5">
      <w:pPr>
        <w:pStyle w:val="BodyText"/>
      </w:pPr>
    </w:p>
    <w:p w:rsidR="00F507A2" w:rsidRDefault="00F507A2" w:rsidP="00F507A2">
      <w:pPr>
        <w:pStyle w:val="BodyText"/>
        <w:keepNext/>
      </w:pPr>
      <w:r w:rsidRPr="00C84FD7">
        <w:t>A summary of the Audit outcomes is to be compiled in an Audit Report and provided to the T</w:t>
      </w:r>
      <w:r>
        <w:t>ransport and Main Roads</w:t>
      </w:r>
      <w:r w:rsidRPr="00C84FD7">
        <w:t xml:space="preserve"> Project Manager/Area Engineer</w:t>
      </w:r>
      <w:r>
        <w:t>.</w:t>
      </w:r>
    </w:p>
    <w:p w:rsidR="00F507A2" w:rsidRDefault="00F507A2" w:rsidP="00C957B5">
      <w:pPr>
        <w:pStyle w:val="BodyText"/>
      </w:pPr>
    </w:p>
    <w:p w:rsidR="00151978" w:rsidRPr="00F507A2" w:rsidRDefault="00151978" w:rsidP="00C957B5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:rsidTr="007E0155">
        <w:tc>
          <w:tcPr>
            <w:tcW w:w="1696" w:type="dxa"/>
            <w:vMerge w:val="restart"/>
          </w:tcPr>
          <w:p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:rsidR="00151978" w:rsidRDefault="00151978" w:rsidP="007E0155">
            <w:pPr>
              <w:pStyle w:val="BodyText"/>
              <w:jc w:val="center"/>
            </w:pPr>
          </w:p>
        </w:tc>
      </w:tr>
      <w:tr w:rsidR="00151978" w:rsidTr="007E0155">
        <w:tc>
          <w:tcPr>
            <w:tcW w:w="1696" w:type="dxa"/>
            <w:vMerge/>
          </w:tcPr>
          <w:p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:rsidR="00151978" w:rsidRDefault="00151978" w:rsidP="007E0155">
            <w:pPr>
              <w:pStyle w:val="BodyText"/>
              <w:jc w:val="center"/>
            </w:pPr>
          </w:p>
        </w:tc>
      </w:tr>
    </w:tbl>
    <w:p w:rsidR="00151978" w:rsidRPr="00CE6618" w:rsidRDefault="00151978" w:rsidP="00C957B5">
      <w:pPr>
        <w:pStyle w:val="BodyText"/>
      </w:pPr>
    </w:p>
    <w:sectPr w:rsidR="00151978" w:rsidRPr="00CE6618" w:rsidSect="00714DC2">
      <w:headerReference w:type="first" r:id="rId15"/>
      <w:pgSz w:w="16838" w:h="11906" w:orient="landscape" w:code="9"/>
      <w:pgMar w:top="993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B37" w:rsidRPr="00391457" w:rsidRDefault="00CC14FD" w:rsidP="00D96097">
    <w:pPr>
      <w:pStyle w:val="Footer"/>
      <w:tabs>
        <w:tab w:val="clear" w:pos="4153"/>
        <w:tab w:val="clear" w:pos="9540"/>
        <w:tab w:val="left" w:pos="13750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C1D3A31" wp14:editId="184E5746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 w:rsidR="00D7178D">
      <w:t>Road Asset Management Contract (RAMC) Gen 2</w:t>
    </w:r>
    <w:r>
      <w:t xml:space="preserve">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3D2255">
      <w:rPr>
        <w:noProof/>
      </w:rPr>
      <w:t>January 2020</w:t>
    </w:r>
    <w:r w:rsidR="00D96097">
      <w:rPr>
        <w:noProof/>
      </w:rP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7B5" w:rsidRDefault="00D7178D" w:rsidP="00C957B5">
    <w:pPr>
      <w:pStyle w:val="HeaderChapterpart"/>
    </w:pPr>
    <w:r>
      <w:t>Form: RAMC Environmental Audit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622" w:rsidRDefault="00EA120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editId="5E707D6E">
          <wp:simplePos x="0" y="0"/>
          <wp:positionH relativeFrom="page">
            <wp:align>right</wp:align>
          </wp:positionH>
          <wp:positionV relativeFrom="paragraph">
            <wp:posOffset>-311785</wp:posOffset>
          </wp:positionV>
          <wp:extent cx="10687685" cy="7558405"/>
          <wp:effectExtent l="0" t="0" r="0" b="0"/>
          <wp:wrapNone/>
          <wp:docPr id="16" name="Picture 16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78D" w:rsidRDefault="00D7178D" w:rsidP="00D7178D">
    <w:pPr>
      <w:pStyle w:val="HeaderChapterpart"/>
    </w:pPr>
    <w:r>
      <w:t>Form: RAMC Environmental Audit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3267A82"/>
    <w:multiLevelType w:val="hybridMultilevel"/>
    <w:tmpl w:val="D5B4F614"/>
    <w:lvl w:ilvl="0" w:tplc="C10A1C8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72D0803"/>
    <w:multiLevelType w:val="hybridMultilevel"/>
    <w:tmpl w:val="3722721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2BE51BDF"/>
    <w:multiLevelType w:val="hybridMultilevel"/>
    <w:tmpl w:val="D29A11E0"/>
    <w:lvl w:ilvl="0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38B0774F"/>
    <w:multiLevelType w:val="multilevel"/>
    <w:tmpl w:val="620CC31C"/>
    <w:numStyleLink w:val="ListAllBullets3Level"/>
  </w:abstractNum>
  <w:abstractNum w:abstractNumId="15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6" w15:restartNumberingAfterBreak="0">
    <w:nsid w:val="3AB91C27"/>
    <w:multiLevelType w:val="multilevel"/>
    <w:tmpl w:val="AD56466E"/>
    <w:name w:val="Portfolio_Bullets"/>
    <w:lvl w:ilvl="0">
      <w:start w:val="1"/>
      <w:numFmt w:val="bullet"/>
      <w:lvlRestart w:val="0"/>
      <w:pStyle w:val="Portfolio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Portfolio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Portfolio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"/>
      <w:lvlJc w:val="left"/>
      <w:pPr>
        <w:tabs>
          <w:tab w:val="num" w:pos="2268"/>
        </w:tabs>
        <w:ind w:left="2268" w:hanging="567"/>
      </w:pPr>
    </w:lvl>
    <w:lvl w:ilvl="4">
      <w:start w:val="1"/>
      <w:numFmt w:val="bullet"/>
      <w:lvlText w:val=""/>
      <w:lvlJc w:val="left"/>
      <w:pPr>
        <w:tabs>
          <w:tab w:val="num" w:pos="2835"/>
        </w:tabs>
        <w:ind w:left="2835" w:hanging="567"/>
      </w:pPr>
    </w:lvl>
    <w:lvl w:ilvl="5">
      <w:start w:val="1"/>
      <w:numFmt w:val="bullet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bullet"/>
      <w:lvlText w:val=""/>
      <w:lvlJc w:val="left"/>
      <w:pPr>
        <w:tabs>
          <w:tab w:val="num" w:pos="3969"/>
        </w:tabs>
        <w:ind w:left="3969" w:hanging="567"/>
      </w:pPr>
    </w:lvl>
    <w:lvl w:ilvl="7">
      <w:start w:val="1"/>
      <w:numFmt w:val="bullet"/>
      <w:lvlText w:val=""/>
      <w:lvlJc w:val="left"/>
      <w:pPr>
        <w:tabs>
          <w:tab w:val="num" w:pos="4535"/>
        </w:tabs>
        <w:ind w:left="4535" w:hanging="566"/>
      </w:pPr>
    </w:lvl>
    <w:lvl w:ilvl="8">
      <w:start w:val="1"/>
      <w:numFmt w:val="bullet"/>
      <w:lvlText w:val=""/>
      <w:lvlJc w:val="left"/>
      <w:pPr>
        <w:tabs>
          <w:tab w:val="num" w:pos="5102"/>
        </w:tabs>
        <w:ind w:left="5102" w:hanging="567"/>
      </w:pPr>
    </w:lvl>
  </w:abstractNum>
  <w:abstractNum w:abstractNumId="17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65D61193"/>
    <w:multiLevelType w:val="hybridMultilevel"/>
    <w:tmpl w:val="B9B291D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8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5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18"/>
  </w:num>
  <w:num w:numId="13">
    <w:abstractNumId w:val="23"/>
  </w:num>
  <w:num w:numId="14">
    <w:abstractNumId w:val="19"/>
  </w:num>
  <w:num w:numId="15">
    <w:abstractNumId w:val="0"/>
  </w:num>
  <w:num w:numId="16">
    <w:abstractNumId w:val="21"/>
  </w:num>
  <w:num w:numId="17">
    <w:abstractNumId w:val="13"/>
  </w:num>
  <w:num w:numId="18">
    <w:abstractNumId w:val="22"/>
  </w:num>
  <w:num w:numId="19">
    <w:abstractNumId w:val="11"/>
  </w:num>
  <w:num w:numId="20">
    <w:abstractNumId w:val="28"/>
  </w:num>
  <w:num w:numId="21">
    <w:abstractNumId w:val="20"/>
  </w:num>
  <w:num w:numId="22">
    <w:abstractNumId w:val="8"/>
  </w:num>
  <w:num w:numId="23">
    <w:abstractNumId w:val="26"/>
  </w:num>
  <w:num w:numId="24">
    <w:abstractNumId w:val="29"/>
  </w:num>
  <w:num w:numId="25">
    <w:abstractNumId w:val="27"/>
  </w:num>
  <w:num w:numId="26">
    <w:abstractNumId w:val="1"/>
  </w:num>
  <w:num w:numId="27">
    <w:abstractNumId w:val="12"/>
  </w:num>
  <w:num w:numId="28">
    <w:abstractNumId w:val="24"/>
  </w:num>
  <w:num w:numId="29">
    <w:abstractNumId w:val="2"/>
  </w:num>
  <w:num w:numId="30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5477"/>
    <w:rsid w:val="00066DBE"/>
    <w:rsid w:val="0006713E"/>
    <w:rsid w:val="00070044"/>
    <w:rsid w:val="0007165A"/>
    <w:rsid w:val="000913ED"/>
    <w:rsid w:val="00096FC7"/>
    <w:rsid w:val="000A1B9D"/>
    <w:rsid w:val="000B047B"/>
    <w:rsid w:val="000B71E8"/>
    <w:rsid w:val="000E1CE3"/>
    <w:rsid w:val="0010528D"/>
    <w:rsid w:val="00107514"/>
    <w:rsid w:val="00115E98"/>
    <w:rsid w:val="00125B5A"/>
    <w:rsid w:val="001326DE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D73C5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36887"/>
    <w:rsid w:val="00350E10"/>
    <w:rsid w:val="00361264"/>
    <w:rsid w:val="00363C04"/>
    <w:rsid w:val="003717FA"/>
    <w:rsid w:val="003722D9"/>
    <w:rsid w:val="00376A0A"/>
    <w:rsid w:val="00383A3B"/>
    <w:rsid w:val="00391457"/>
    <w:rsid w:val="003960ED"/>
    <w:rsid w:val="003A5033"/>
    <w:rsid w:val="003C340E"/>
    <w:rsid w:val="003D1729"/>
    <w:rsid w:val="003D200A"/>
    <w:rsid w:val="003D2255"/>
    <w:rsid w:val="003E0E9D"/>
    <w:rsid w:val="003E3C82"/>
    <w:rsid w:val="003F1020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0D4E"/>
    <w:rsid w:val="0059511F"/>
    <w:rsid w:val="005C1DF1"/>
    <w:rsid w:val="005D3973"/>
    <w:rsid w:val="005D59C0"/>
    <w:rsid w:val="005F5CFB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6762E"/>
    <w:rsid w:val="00676214"/>
    <w:rsid w:val="00685152"/>
    <w:rsid w:val="00686875"/>
    <w:rsid w:val="006A6908"/>
    <w:rsid w:val="006A7E30"/>
    <w:rsid w:val="006C2B1A"/>
    <w:rsid w:val="006D2668"/>
    <w:rsid w:val="006D2FDF"/>
    <w:rsid w:val="006D52CB"/>
    <w:rsid w:val="006D553A"/>
    <w:rsid w:val="00714DC2"/>
    <w:rsid w:val="0072078E"/>
    <w:rsid w:val="00723F1A"/>
    <w:rsid w:val="00730C95"/>
    <w:rsid w:val="00740BDC"/>
    <w:rsid w:val="007462A6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11807"/>
    <w:rsid w:val="00825E2A"/>
    <w:rsid w:val="008807C8"/>
    <w:rsid w:val="008843E8"/>
    <w:rsid w:val="008A19A0"/>
    <w:rsid w:val="008B3748"/>
    <w:rsid w:val="008B61BF"/>
    <w:rsid w:val="008C47FC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297A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05B2E"/>
    <w:rsid w:val="00B249E6"/>
    <w:rsid w:val="00B4064C"/>
    <w:rsid w:val="00B705E6"/>
    <w:rsid w:val="00B712C5"/>
    <w:rsid w:val="00B8333F"/>
    <w:rsid w:val="00B8519F"/>
    <w:rsid w:val="00BB09C2"/>
    <w:rsid w:val="00BB2B19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24F6C"/>
    <w:rsid w:val="00C33EEE"/>
    <w:rsid w:val="00C34106"/>
    <w:rsid w:val="00C352F9"/>
    <w:rsid w:val="00C46646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D69CA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7178D"/>
    <w:rsid w:val="00D8447C"/>
    <w:rsid w:val="00D86598"/>
    <w:rsid w:val="00D934C0"/>
    <w:rsid w:val="00D96097"/>
    <w:rsid w:val="00DA20DD"/>
    <w:rsid w:val="00DA5B13"/>
    <w:rsid w:val="00DB3E5E"/>
    <w:rsid w:val="00DC076F"/>
    <w:rsid w:val="00DC376C"/>
    <w:rsid w:val="00DD032D"/>
    <w:rsid w:val="00DD2F5B"/>
    <w:rsid w:val="00DE56ED"/>
    <w:rsid w:val="00DF1C54"/>
    <w:rsid w:val="00DF27E0"/>
    <w:rsid w:val="00DF40B1"/>
    <w:rsid w:val="00E23A83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C3532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507A2"/>
    <w:rsid w:val="00F64B7F"/>
    <w:rsid w:val="00F70E96"/>
    <w:rsid w:val="00F81714"/>
    <w:rsid w:val="00F87D4E"/>
    <w:rsid w:val="00FA5570"/>
    <w:rsid w:val="00FA752B"/>
    <w:rsid w:val="00FB1E71"/>
    <w:rsid w:val="00FB66C6"/>
    <w:rsid w:val="00FC1240"/>
    <w:rsid w:val="00FC2AE6"/>
    <w:rsid w:val="00FC5568"/>
    <w:rsid w:val="00FC5DE8"/>
    <w:rsid w:val="00FC7935"/>
    <w:rsid w:val="00FD514B"/>
    <w:rsid w:val="00FE5C99"/>
    <w:rsid w:val="00FF1F3F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27494AB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qFormat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78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78D"/>
    <w:rPr>
      <w:rFonts w:ascii="Arial" w:hAnsi="Arial"/>
      <w:i/>
      <w:iCs/>
      <w:color w:val="5B9BD5" w:themeColor="accent1"/>
      <w:szCs w:val="24"/>
    </w:rPr>
  </w:style>
  <w:style w:type="paragraph" w:customStyle="1" w:styleId="PortfolioBullet">
    <w:name w:val="Portfolio_Bullet"/>
    <w:basedOn w:val="BodyText"/>
    <w:rsid w:val="00D96097"/>
    <w:pPr>
      <w:numPr>
        <w:numId w:val="30"/>
      </w:numPr>
    </w:pPr>
    <w:rPr>
      <w:rFonts w:cs="Times New Roman"/>
      <w:szCs w:val="24"/>
    </w:rPr>
  </w:style>
  <w:style w:type="paragraph" w:customStyle="1" w:styleId="PortfolioBullet2">
    <w:name w:val="Portfolio_Bullet2"/>
    <w:basedOn w:val="BodyText"/>
    <w:rsid w:val="00D96097"/>
    <w:pPr>
      <w:numPr>
        <w:ilvl w:val="1"/>
        <w:numId w:val="30"/>
      </w:numPr>
    </w:pPr>
    <w:rPr>
      <w:rFonts w:cs="Times New Roman"/>
      <w:szCs w:val="24"/>
    </w:rPr>
  </w:style>
  <w:style w:type="paragraph" w:customStyle="1" w:styleId="PortfolioBullet3">
    <w:name w:val="Portfolio_Bullet3"/>
    <w:basedOn w:val="Normal"/>
    <w:rsid w:val="00D96097"/>
    <w:pPr>
      <w:numPr>
        <w:ilvl w:val="2"/>
        <w:numId w:val="30"/>
      </w:num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85C1DC-C60F-450E-BEA3-6D9B5926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63</TotalTime>
  <Pages>13</Pages>
  <Words>2392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Asset Management Contract (RAMC) - Generation 2</vt:lpstr>
    </vt:vector>
  </TitlesOfParts>
  <Company>Department of Transport and Main Roads</Company>
  <LinksUpToDate>false</LinksUpToDate>
  <CharactersWithSpaces>16782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Asset Management Contract (RAMC) - Generation 2</dc:title>
  <dc:subject>Environmental Audit Checklist</dc:subject>
  <dc:creator>Department of Transport and Main Roads</dc:creator>
  <cp:keywords>RAMC; Gen 2;</cp:keywords>
  <dc:description/>
  <cp:lastModifiedBy>Courtney M West</cp:lastModifiedBy>
  <cp:revision>26</cp:revision>
  <cp:lastPrinted>2013-06-20T03:17:00Z</cp:lastPrinted>
  <dcterms:created xsi:type="dcterms:W3CDTF">2019-12-22T23:20:00Z</dcterms:created>
  <dcterms:modified xsi:type="dcterms:W3CDTF">2020-01-15T00:19:00Z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