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485"/>
        <w:gridCol w:w="1984"/>
        <w:gridCol w:w="1523"/>
      </w:tblGrid>
      <w:tr w:rsidR="00685152" w14:paraId="568673FF" w14:textId="77777777" w:rsidTr="00685152">
        <w:tc>
          <w:tcPr>
            <w:tcW w:w="10485" w:type="dxa"/>
            <w:vMerge w:val="restart"/>
          </w:tcPr>
          <w:p w14:paraId="1F3DBC8E" w14:textId="77777777" w:rsidR="00685152" w:rsidRPr="00825E2A" w:rsidRDefault="00685152" w:rsidP="00685152">
            <w:pPr>
              <w:rPr>
                <w:rStyle w:val="BodyTextbold"/>
              </w:rPr>
            </w:pPr>
            <w:r w:rsidRPr="00685152">
              <w:rPr>
                <w:rStyle w:val="BodyTextbold"/>
                <w:sz w:val="28"/>
              </w:rPr>
              <w:t xml:space="preserve">Form: RAMC Environmental </w:t>
            </w:r>
            <w:r w:rsidR="00127371">
              <w:rPr>
                <w:rStyle w:val="BodyTextbold"/>
                <w:sz w:val="28"/>
              </w:rPr>
              <w:t>Management Plan – Maintenance Review</w:t>
            </w:r>
            <w:r w:rsidRPr="00685152">
              <w:rPr>
                <w:rStyle w:val="BodyTextbold"/>
                <w:sz w:val="28"/>
              </w:rPr>
              <w:t xml:space="preserve"> Checklist</w:t>
            </w:r>
          </w:p>
        </w:tc>
        <w:tc>
          <w:tcPr>
            <w:tcW w:w="1984" w:type="dxa"/>
          </w:tcPr>
          <w:p w14:paraId="1E775EAB" w14:textId="77777777" w:rsidR="00685152" w:rsidRPr="00825E2A" w:rsidRDefault="00685152" w:rsidP="00A36B59">
            <w:pPr>
              <w:rPr>
                <w:rStyle w:val="BodyTextbold"/>
              </w:rPr>
            </w:pPr>
            <w:r w:rsidRPr="00825E2A">
              <w:rPr>
                <w:rStyle w:val="BodyTextbold"/>
              </w:rPr>
              <w:t>Revi</w:t>
            </w:r>
            <w:r>
              <w:rPr>
                <w:rStyle w:val="BodyTextbold"/>
              </w:rPr>
              <w:t>sion</w:t>
            </w:r>
            <w:r w:rsidRPr="00825E2A">
              <w:rPr>
                <w:rStyle w:val="BodyTextbold"/>
              </w:rPr>
              <w:t xml:space="preserve"> N</w:t>
            </w:r>
            <w:r>
              <w:rPr>
                <w:rStyle w:val="BodyTextbold"/>
              </w:rPr>
              <w:t>umber:</w:t>
            </w:r>
          </w:p>
        </w:tc>
        <w:tc>
          <w:tcPr>
            <w:tcW w:w="1523" w:type="dxa"/>
          </w:tcPr>
          <w:p w14:paraId="647779BF" w14:textId="77777777" w:rsidR="00685152" w:rsidRPr="00825E2A" w:rsidRDefault="00685152" w:rsidP="00A36B59">
            <w:pPr>
              <w:rPr>
                <w:rStyle w:val="BodyTextbold"/>
              </w:rPr>
            </w:pPr>
            <w:r>
              <w:rPr>
                <w:rStyle w:val="BodyTextbold"/>
              </w:rPr>
              <w:t>2</w:t>
            </w:r>
          </w:p>
        </w:tc>
      </w:tr>
      <w:tr w:rsidR="00685152" w14:paraId="2D142934" w14:textId="77777777" w:rsidTr="00685152">
        <w:tc>
          <w:tcPr>
            <w:tcW w:w="10485" w:type="dxa"/>
            <w:vMerge/>
          </w:tcPr>
          <w:p w14:paraId="7F1CCEC8" w14:textId="77777777" w:rsidR="00685152" w:rsidRPr="00825E2A" w:rsidRDefault="00685152" w:rsidP="00A36B59">
            <w:pPr>
              <w:rPr>
                <w:rStyle w:val="BodyTextbold"/>
              </w:rPr>
            </w:pPr>
          </w:p>
        </w:tc>
        <w:tc>
          <w:tcPr>
            <w:tcW w:w="1984" w:type="dxa"/>
          </w:tcPr>
          <w:p w14:paraId="0F35C3FF" w14:textId="77777777" w:rsidR="00685152" w:rsidRPr="00825E2A" w:rsidRDefault="00685152" w:rsidP="00A36B59">
            <w:pPr>
              <w:rPr>
                <w:rStyle w:val="BodyTextbold"/>
              </w:rPr>
            </w:pPr>
            <w:r>
              <w:rPr>
                <w:rStyle w:val="BodyTextbold"/>
              </w:rPr>
              <w:t>Effective Date:</w:t>
            </w:r>
          </w:p>
        </w:tc>
        <w:tc>
          <w:tcPr>
            <w:tcW w:w="1523" w:type="dxa"/>
          </w:tcPr>
          <w:p w14:paraId="1CACD280" w14:textId="2FE9F158" w:rsidR="00685152" w:rsidRPr="00825E2A" w:rsidRDefault="0021608E" w:rsidP="00A36B59">
            <w:pPr>
              <w:rPr>
                <w:rStyle w:val="BodyTextbold"/>
              </w:rPr>
            </w:pPr>
            <w:r>
              <w:rPr>
                <w:rStyle w:val="BodyTextbold"/>
              </w:rPr>
              <w:t>15.01.2020</w:t>
            </w:r>
            <w:bookmarkStart w:id="0" w:name="_GoBack"/>
            <w:bookmarkEnd w:id="0"/>
          </w:p>
        </w:tc>
      </w:tr>
    </w:tbl>
    <w:p w14:paraId="797D8C46" w14:textId="77777777" w:rsidR="00CD30F9" w:rsidRPr="00127371" w:rsidRDefault="00CD30F9" w:rsidP="00D7178D">
      <w:pPr>
        <w:pStyle w:val="HeadingPartChapter"/>
        <w:spacing w:after="0" w:line="240" w:lineRule="auto"/>
        <w:rPr>
          <w:sz w:val="10"/>
        </w:rPr>
      </w:pPr>
    </w:p>
    <w:p w14:paraId="607B5835" w14:textId="77777777" w:rsidR="00D7178D" w:rsidRPr="003856DA" w:rsidRDefault="00127371" w:rsidP="00D7178D">
      <w:pPr>
        <w:pStyle w:val="IntenseQuote"/>
      </w:pPr>
      <w:r w:rsidRPr="00425722">
        <w:t xml:space="preserve">NOTE: This checklist applies to Road Asset Management Contracts (RAMC). As the RAMC conditions require compliance with MRTS51 and MRTS52 in some cases, </w:t>
      </w:r>
      <w:r w:rsidRPr="00127371">
        <w:rPr>
          <w:b/>
        </w:rPr>
        <w:t>the relevant clauses</w:t>
      </w:r>
      <w:r w:rsidRPr="00127371">
        <w:rPr>
          <w:color w:val="auto"/>
        </w:rPr>
        <w:t xml:space="preserve"> </w:t>
      </w:r>
      <w:r w:rsidRPr="00425722">
        <w:t xml:space="preserve">have been </w:t>
      </w:r>
      <w:r>
        <w:t>referred to or included</w:t>
      </w:r>
      <w:r w:rsidRPr="00425722">
        <w:t xml:space="preserve"> within the checklist</w:t>
      </w:r>
      <w:r>
        <w:t xml:space="preserve"> where necessary</w:t>
      </w:r>
      <w:r w:rsidRPr="00425722">
        <w:t xml:space="preserve">. For </w:t>
      </w:r>
      <w:r>
        <w:t>a Road Maintenance Performance Contract (RMPC)</w:t>
      </w:r>
      <w:r w:rsidRPr="00425722">
        <w:t>, refer to the RMPC Environmental Management Plan checklist. EMP</w:t>
      </w:r>
      <w:r>
        <w:t>-C</w:t>
      </w:r>
      <w:r w:rsidRPr="00425722">
        <w:t xml:space="preserve">'s which are required to be submitted as part of the RAMC </w:t>
      </w:r>
      <w:r>
        <w:t>C</w:t>
      </w:r>
      <w:r w:rsidRPr="00425722">
        <w:t>ontract, shall utilise the MRTS51 and MRTS52 CAS checklists respectively</w:t>
      </w:r>
      <w:r w:rsidR="00D7178D">
        <w:t>.</w:t>
      </w:r>
    </w:p>
    <w:p w14:paraId="76F3CFFA" w14:textId="77777777" w:rsidR="00D7178D" w:rsidRPr="00D7178D" w:rsidRDefault="00D7178D" w:rsidP="00D7178D">
      <w:pPr>
        <w:pStyle w:val="BodyText"/>
        <w:rPr>
          <w:b/>
        </w:rPr>
      </w:pPr>
      <w:r w:rsidRPr="00D7178D">
        <w:rPr>
          <w:b/>
        </w:rPr>
        <w:t>Purpose:</w:t>
      </w:r>
    </w:p>
    <w:p w14:paraId="027EAB27" w14:textId="77777777" w:rsidR="00127371" w:rsidRDefault="00127371" w:rsidP="00127371">
      <w:pPr>
        <w:pStyle w:val="BodyText"/>
        <w:jc w:val="both"/>
      </w:pPr>
      <w:r w:rsidRPr="004A6A8B">
        <w:t>This RAMC Environmental Management Plan</w:t>
      </w:r>
      <w:r>
        <w:t xml:space="preserve"> – Maintenance (EMP – M) </w:t>
      </w:r>
      <w:r w:rsidRPr="004A6A8B">
        <w:t xml:space="preserve">Review Checklist is to assist </w:t>
      </w:r>
      <w:r>
        <w:t xml:space="preserve">the </w:t>
      </w:r>
      <w:r w:rsidRPr="004A6A8B">
        <w:t xml:space="preserve">Principal in reviewing </w:t>
      </w:r>
      <w:r>
        <w:t xml:space="preserve">the </w:t>
      </w:r>
      <w:r w:rsidRPr="004A6A8B">
        <w:t>Contractor’s EMP</w:t>
      </w:r>
      <w:r>
        <w:t xml:space="preserve"> - </w:t>
      </w:r>
      <w:r w:rsidRPr="004A6A8B">
        <w:t xml:space="preserve">M to ensure that it is consistent with RAMC </w:t>
      </w:r>
      <w:r>
        <w:t>Appendix L: Environmental and Cultural Heritage Management detailed r</w:t>
      </w:r>
      <w:r w:rsidRPr="004A6A8B">
        <w:t>equirements for Contract Plan</w:t>
      </w:r>
      <w:r>
        <w:t>, the General Conditions of Contract and Appendix D,</w:t>
      </w:r>
      <w:r w:rsidRPr="004A6A8B">
        <w:t xml:space="preserve"> and addresses the main environmental risks associated with routine maintenance. As the RAMC conditions </w:t>
      </w:r>
      <w:proofErr w:type="gramStart"/>
      <w:r>
        <w:t>make reference</w:t>
      </w:r>
      <w:proofErr w:type="gramEnd"/>
      <w:r>
        <w:t xml:space="preserve"> to MRTS51 and MRTS52, relevant clauses have been included in the checklist.</w:t>
      </w:r>
    </w:p>
    <w:p w14:paraId="50789810" w14:textId="77777777" w:rsidR="00D7178D" w:rsidRPr="00D7178D" w:rsidRDefault="00127371" w:rsidP="00127371">
      <w:pPr>
        <w:pStyle w:val="BodyText"/>
        <w:spacing w:after="360"/>
        <w:rPr>
          <w:b/>
        </w:rPr>
      </w:pPr>
      <w:r w:rsidRPr="004A6A8B">
        <w:t xml:space="preserve">Where the district undertakes activities over and above routine maintenance (Element 15) through the RAMC </w:t>
      </w:r>
      <w:r>
        <w:t>C</w:t>
      </w:r>
      <w:r w:rsidRPr="004A6A8B">
        <w:t>ontract the District EO shall ensure an assessment is undertaken of other proposed activities and appropriate mitigation measures included.</w:t>
      </w:r>
    </w:p>
    <w:tbl>
      <w:tblPr>
        <w:tblStyle w:val="TableGrid"/>
        <w:tblW w:w="0" w:type="auto"/>
        <w:tblLook w:val="04A0" w:firstRow="1" w:lastRow="0" w:firstColumn="1" w:lastColumn="0" w:noHBand="0" w:noVBand="1"/>
      </w:tblPr>
      <w:tblGrid>
        <w:gridCol w:w="1696"/>
        <w:gridCol w:w="2268"/>
        <w:gridCol w:w="1134"/>
        <w:gridCol w:w="1776"/>
        <w:gridCol w:w="1910"/>
        <w:gridCol w:w="2384"/>
        <w:gridCol w:w="1388"/>
        <w:gridCol w:w="1436"/>
      </w:tblGrid>
      <w:tr w:rsidR="00D7178D" w14:paraId="0B71CF4B" w14:textId="77777777" w:rsidTr="00127371">
        <w:tc>
          <w:tcPr>
            <w:tcW w:w="1696" w:type="dxa"/>
            <w:shd w:val="clear" w:color="auto" w:fill="F2F2F2" w:themeFill="background1" w:themeFillShade="F2"/>
          </w:tcPr>
          <w:p w14:paraId="3D6E6DB0" w14:textId="77777777" w:rsidR="00685152" w:rsidRPr="00825E2A" w:rsidRDefault="00685152" w:rsidP="00D7178D">
            <w:pPr>
              <w:keepNext w:val="0"/>
              <w:keepLines w:val="0"/>
              <w:widowControl w:val="0"/>
              <w:rPr>
                <w:rStyle w:val="BodyTextbold"/>
              </w:rPr>
            </w:pPr>
            <w:r w:rsidRPr="00825E2A">
              <w:rPr>
                <w:rStyle w:val="BodyTextbold"/>
              </w:rPr>
              <w:t>Contractor</w:t>
            </w:r>
          </w:p>
        </w:tc>
        <w:tc>
          <w:tcPr>
            <w:tcW w:w="5178" w:type="dxa"/>
            <w:gridSpan w:val="3"/>
          </w:tcPr>
          <w:p w14:paraId="5072DB8B" w14:textId="77777777" w:rsidR="00685152" w:rsidRPr="00825E2A" w:rsidRDefault="00685152" w:rsidP="00D7178D">
            <w:pPr>
              <w:keepNext w:val="0"/>
              <w:keepLines w:val="0"/>
              <w:widowControl w:val="0"/>
              <w:rPr>
                <w:rStyle w:val="BodyTextbold"/>
              </w:rPr>
            </w:pPr>
          </w:p>
        </w:tc>
        <w:tc>
          <w:tcPr>
            <w:tcW w:w="1910" w:type="dxa"/>
            <w:shd w:val="clear" w:color="auto" w:fill="F2F2F2" w:themeFill="background1" w:themeFillShade="F2"/>
          </w:tcPr>
          <w:p w14:paraId="615D3ED5" w14:textId="77777777" w:rsidR="00685152" w:rsidRPr="00825E2A" w:rsidRDefault="00685152" w:rsidP="00D7178D">
            <w:pPr>
              <w:keepNext w:val="0"/>
              <w:keepLines w:val="0"/>
              <w:widowControl w:val="0"/>
              <w:rPr>
                <w:rStyle w:val="BodyTextbold"/>
              </w:rPr>
            </w:pPr>
            <w:r>
              <w:rPr>
                <w:rStyle w:val="BodyTextbold"/>
              </w:rPr>
              <w:t>Date</w:t>
            </w:r>
          </w:p>
        </w:tc>
        <w:tc>
          <w:tcPr>
            <w:tcW w:w="2384" w:type="dxa"/>
          </w:tcPr>
          <w:p w14:paraId="51405B54" w14:textId="77777777" w:rsidR="00685152" w:rsidRPr="00825E2A" w:rsidRDefault="00685152" w:rsidP="00D7178D">
            <w:pPr>
              <w:keepNext w:val="0"/>
              <w:keepLines w:val="0"/>
              <w:widowControl w:val="0"/>
              <w:rPr>
                <w:rStyle w:val="BodyTextbold"/>
              </w:rPr>
            </w:pPr>
          </w:p>
        </w:tc>
        <w:tc>
          <w:tcPr>
            <w:tcW w:w="1388" w:type="dxa"/>
            <w:shd w:val="clear" w:color="auto" w:fill="F2F2F2" w:themeFill="background1" w:themeFillShade="F2"/>
          </w:tcPr>
          <w:p w14:paraId="2CFC7936" w14:textId="77777777" w:rsidR="00685152" w:rsidRPr="00825E2A" w:rsidRDefault="00685152" w:rsidP="00D7178D">
            <w:pPr>
              <w:keepNext w:val="0"/>
              <w:keepLines w:val="0"/>
              <w:widowControl w:val="0"/>
              <w:rPr>
                <w:rStyle w:val="BodyTextbold"/>
              </w:rPr>
            </w:pPr>
            <w:r w:rsidRPr="00825E2A">
              <w:rPr>
                <w:rStyle w:val="BodyTextbold"/>
              </w:rPr>
              <w:t>Review No.</w:t>
            </w:r>
          </w:p>
        </w:tc>
        <w:tc>
          <w:tcPr>
            <w:tcW w:w="1436" w:type="dxa"/>
          </w:tcPr>
          <w:p w14:paraId="6CC2E255" w14:textId="77777777" w:rsidR="00685152" w:rsidRPr="00825E2A" w:rsidRDefault="00685152" w:rsidP="00D7178D">
            <w:pPr>
              <w:keepNext w:val="0"/>
              <w:keepLines w:val="0"/>
              <w:widowControl w:val="0"/>
              <w:rPr>
                <w:rStyle w:val="BodyTextbold"/>
              </w:rPr>
            </w:pPr>
          </w:p>
        </w:tc>
      </w:tr>
      <w:tr w:rsidR="00685152" w14:paraId="53291D7B" w14:textId="77777777" w:rsidTr="00127371">
        <w:tc>
          <w:tcPr>
            <w:tcW w:w="1696" w:type="dxa"/>
            <w:shd w:val="clear" w:color="auto" w:fill="F2F2F2" w:themeFill="background1" w:themeFillShade="F2"/>
          </w:tcPr>
          <w:p w14:paraId="282A1FD4" w14:textId="77777777" w:rsidR="00685152" w:rsidRPr="00825E2A" w:rsidRDefault="00685152" w:rsidP="00D7178D">
            <w:pPr>
              <w:keepNext w:val="0"/>
              <w:keepLines w:val="0"/>
              <w:widowControl w:val="0"/>
              <w:rPr>
                <w:rStyle w:val="BodyTextbold"/>
              </w:rPr>
            </w:pPr>
            <w:r w:rsidRPr="00825E2A">
              <w:rPr>
                <w:rStyle w:val="BodyTextbold"/>
              </w:rPr>
              <w:t>Contract No.</w:t>
            </w:r>
          </w:p>
        </w:tc>
        <w:tc>
          <w:tcPr>
            <w:tcW w:w="2268" w:type="dxa"/>
          </w:tcPr>
          <w:p w14:paraId="7313C89A" w14:textId="77777777" w:rsidR="00685152" w:rsidRPr="00825E2A" w:rsidRDefault="00685152" w:rsidP="00D7178D">
            <w:pPr>
              <w:keepNext w:val="0"/>
              <w:keepLines w:val="0"/>
              <w:widowControl w:val="0"/>
              <w:rPr>
                <w:rStyle w:val="BodyTextbold"/>
              </w:rPr>
            </w:pPr>
          </w:p>
        </w:tc>
        <w:tc>
          <w:tcPr>
            <w:tcW w:w="1134" w:type="dxa"/>
            <w:shd w:val="clear" w:color="auto" w:fill="F2F2F2" w:themeFill="background1" w:themeFillShade="F2"/>
          </w:tcPr>
          <w:p w14:paraId="5903ABD0" w14:textId="77777777" w:rsidR="00685152" w:rsidRPr="00825E2A" w:rsidRDefault="00127371" w:rsidP="00D7178D">
            <w:pPr>
              <w:keepNext w:val="0"/>
              <w:keepLines w:val="0"/>
              <w:widowControl w:val="0"/>
              <w:rPr>
                <w:rStyle w:val="BodyTextbold"/>
              </w:rPr>
            </w:pPr>
            <w:r>
              <w:rPr>
                <w:rStyle w:val="BodyTextbold"/>
              </w:rPr>
              <w:t>RAMC Network</w:t>
            </w:r>
          </w:p>
        </w:tc>
        <w:tc>
          <w:tcPr>
            <w:tcW w:w="1776" w:type="dxa"/>
          </w:tcPr>
          <w:p w14:paraId="7CE32BBE" w14:textId="77777777" w:rsidR="00685152" w:rsidRPr="00825E2A" w:rsidRDefault="00685152" w:rsidP="00D7178D">
            <w:pPr>
              <w:keepNext w:val="0"/>
              <w:keepLines w:val="0"/>
              <w:widowControl w:val="0"/>
              <w:rPr>
                <w:rStyle w:val="BodyTextbold"/>
              </w:rPr>
            </w:pPr>
          </w:p>
        </w:tc>
        <w:tc>
          <w:tcPr>
            <w:tcW w:w="1910" w:type="dxa"/>
            <w:shd w:val="clear" w:color="auto" w:fill="F2F2F2" w:themeFill="background1" w:themeFillShade="F2"/>
          </w:tcPr>
          <w:p w14:paraId="3212086B" w14:textId="77777777" w:rsidR="00685152" w:rsidRPr="00825E2A" w:rsidRDefault="00127371" w:rsidP="00D7178D">
            <w:pPr>
              <w:keepNext w:val="0"/>
              <w:keepLines w:val="0"/>
              <w:widowControl w:val="0"/>
              <w:rPr>
                <w:rStyle w:val="BodyTextbold"/>
              </w:rPr>
            </w:pPr>
            <w:r>
              <w:rPr>
                <w:rStyle w:val="BodyTextbold"/>
              </w:rPr>
              <w:t>Reviewer Name</w:t>
            </w:r>
          </w:p>
        </w:tc>
        <w:tc>
          <w:tcPr>
            <w:tcW w:w="5208" w:type="dxa"/>
            <w:gridSpan w:val="3"/>
          </w:tcPr>
          <w:p w14:paraId="78D9B607" w14:textId="77777777" w:rsidR="00685152" w:rsidRPr="00825E2A" w:rsidRDefault="00685152" w:rsidP="00D7178D">
            <w:pPr>
              <w:keepNext w:val="0"/>
              <w:keepLines w:val="0"/>
              <w:widowControl w:val="0"/>
              <w:rPr>
                <w:rStyle w:val="BodyTextbold"/>
              </w:rPr>
            </w:pPr>
          </w:p>
        </w:tc>
      </w:tr>
      <w:tr w:rsidR="00685152" w14:paraId="7DC90BE8" w14:textId="77777777" w:rsidTr="00127371">
        <w:tc>
          <w:tcPr>
            <w:tcW w:w="1696" w:type="dxa"/>
            <w:shd w:val="clear" w:color="auto" w:fill="F2F2F2" w:themeFill="background1" w:themeFillShade="F2"/>
          </w:tcPr>
          <w:p w14:paraId="6B5CEA19" w14:textId="77777777" w:rsidR="00685152" w:rsidRPr="00825E2A" w:rsidRDefault="00127371" w:rsidP="00D7178D">
            <w:pPr>
              <w:keepNext w:val="0"/>
              <w:keepLines w:val="0"/>
              <w:widowControl w:val="0"/>
              <w:rPr>
                <w:rStyle w:val="BodyTextbold"/>
              </w:rPr>
            </w:pPr>
            <w:r>
              <w:rPr>
                <w:rStyle w:val="BodyTextbold"/>
              </w:rPr>
              <w:t>Project Name</w:t>
            </w:r>
          </w:p>
        </w:tc>
        <w:tc>
          <w:tcPr>
            <w:tcW w:w="5178" w:type="dxa"/>
            <w:gridSpan w:val="3"/>
          </w:tcPr>
          <w:p w14:paraId="668DA8EE" w14:textId="77777777" w:rsidR="00685152" w:rsidRPr="00825E2A" w:rsidRDefault="00685152" w:rsidP="00D7178D">
            <w:pPr>
              <w:keepNext w:val="0"/>
              <w:keepLines w:val="0"/>
              <w:widowControl w:val="0"/>
              <w:rPr>
                <w:rStyle w:val="BodyTextbold"/>
              </w:rPr>
            </w:pPr>
          </w:p>
        </w:tc>
        <w:tc>
          <w:tcPr>
            <w:tcW w:w="1910" w:type="dxa"/>
            <w:shd w:val="clear" w:color="auto" w:fill="F2F2F2" w:themeFill="background1" w:themeFillShade="F2"/>
          </w:tcPr>
          <w:p w14:paraId="6396A95F" w14:textId="77777777" w:rsidR="00685152" w:rsidRPr="00825E2A" w:rsidRDefault="00127371" w:rsidP="00D7178D">
            <w:pPr>
              <w:keepNext w:val="0"/>
              <w:keepLines w:val="0"/>
              <w:widowControl w:val="0"/>
              <w:rPr>
                <w:rStyle w:val="BodyTextbold"/>
              </w:rPr>
            </w:pPr>
            <w:r>
              <w:rPr>
                <w:rStyle w:val="BodyTextbold"/>
              </w:rPr>
              <w:t>Project Numbers</w:t>
            </w:r>
          </w:p>
        </w:tc>
        <w:tc>
          <w:tcPr>
            <w:tcW w:w="5208" w:type="dxa"/>
            <w:gridSpan w:val="3"/>
          </w:tcPr>
          <w:p w14:paraId="25EC8578" w14:textId="77777777" w:rsidR="00685152" w:rsidRPr="00825E2A" w:rsidRDefault="00685152" w:rsidP="00D7178D">
            <w:pPr>
              <w:keepNext w:val="0"/>
              <w:keepLines w:val="0"/>
              <w:widowControl w:val="0"/>
              <w:rPr>
                <w:rStyle w:val="BodyTextbold"/>
              </w:rPr>
            </w:pPr>
          </w:p>
        </w:tc>
      </w:tr>
    </w:tbl>
    <w:p w14:paraId="24DAAFC8" w14:textId="77777777" w:rsidR="00627391" w:rsidRDefault="00627391" w:rsidP="00D7178D">
      <w:pPr>
        <w:widowControl w:val="0"/>
      </w:pPr>
    </w:p>
    <w:p w14:paraId="74963FBB" w14:textId="77777777" w:rsidR="00D7178D" w:rsidRDefault="00D7178D" w:rsidP="00D7178D">
      <w:pPr>
        <w:widowControl w:val="0"/>
        <w:sectPr w:rsidR="00D7178D" w:rsidSect="00D7178D">
          <w:headerReference w:type="default" r:id="rId12"/>
          <w:footerReference w:type="default" r:id="rId13"/>
          <w:headerReference w:type="first" r:id="rId14"/>
          <w:pgSz w:w="16838" w:h="11906" w:orient="landscape" w:code="9"/>
          <w:pgMar w:top="2127" w:right="1418" w:bottom="1418" w:left="1418" w:header="454" w:footer="454"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8"/>
        <w:gridCol w:w="2798"/>
        <w:gridCol w:w="2798"/>
        <w:gridCol w:w="2799"/>
        <w:gridCol w:w="2799"/>
      </w:tblGrid>
      <w:tr w:rsidR="00D934C0" w14:paraId="6FCEFAE9" w14:textId="77777777" w:rsidTr="00C24F6C">
        <w:tc>
          <w:tcPr>
            <w:tcW w:w="2798" w:type="dxa"/>
          </w:tcPr>
          <w:p w14:paraId="4317CBFD" w14:textId="77777777" w:rsidR="00D934C0" w:rsidRPr="00C24F6C" w:rsidRDefault="00D934C0" w:rsidP="00CD69CA">
            <w:pPr>
              <w:widowControl w:val="0"/>
              <w:rPr>
                <w:b/>
              </w:rPr>
            </w:pPr>
            <w:r w:rsidRPr="00C24F6C">
              <w:rPr>
                <w:b/>
              </w:rPr>
              <w:lastRenderedPageBreak/>
              <w:t>Legend:</w:t>
            </w:r>
          </w:p>
        </w:tc>
        <w:tc>
          <w:tcPr>
            <w:tcW w:w="2798" w:type="dxa"/>
          </w:tcPr>
          <w:p w14:paraId="02F987D9" w14:textId="77777777" w:rsidR="00D934C0" w:rsidRDefault="00D934C0" w:rsidP="00CD69CA">
            <w:pPr>
              <w:widowControl w:val="0"/>
            </w:pPr>
            <w:r w:rsidRPr="00C24F6C">
              <w:rPr>
                <w:b/>
              </w:rPr>
              <w:t>C</w:t>
            </w:r>
            <w:r>
              <w:t xml:space="preserve">   Conformance</w:t>
            </w:r>
          </w:p>
        </w:tc>
        <w:tc>
          <w:tcPr>
            <w:tcW w:w="2798" w:type="dxa"/>
          </w:tcPr>
          <w:p w14:paraId="39DD48A1" w14:textId="77777777" w:rsidR="00D934C0" w:rsidRDefault="00D934C0" w:rsidP="00CD69CA">
            <w:pPr>
              <w:widowControl w:val="0"/>
            </w:pPr>
            <w:r w:rsidRPr="00C24F6C">
              <w:rPr>
                <w:b/>
              </w:rPr>
              <w:t>NC</w:t>
            </w:r>
            <w:r>
              <w:t xml:space="preserve">   Non-conformance</w:t>
            </w:r>
          </w:p>
        </w:tc>
        <w:tc>
          <w:tcPr>
            <w:tcW w:w="2799" w:type="dxa"/>
          </w:tcPr>
          <w:p w14:paraId="79381630" w14:textId="77777777" w:rsidR="00D934C0" w:rsidRDefault="00D934C0" w:rsidP="00CD69CA">
            <w:pPr>
              <w:widowControl w:val="0"/>
            </w:pPr>
            <w:r w:rsidRPr="00C24F6C">
              <w:rPr>
                <w:b/>
              </w:rPr>
              <w:t>NFV</w:t>
            </w:r>
            <w:r>
              <w:t xml:space="preserve">   Not Fully Verifiable</w:t>
            </w:r>
          </w:p>
        </w:tc>
        <w:tc>
          <w:tcPr>
            <w:tcW w:w="2799" w:type="dxa"/>
          </w:tcPr>
          <w:p w14:paraId="77B82E23" w14:textId="77777777" w:rsidR="00D934C0" w:rsidRDefault="00D934C0" w:rsidP="00CD69CA">
            <w:pPr>
              <w:widowControl w:val="0"/>
            </w:pPr>
            <w:r w:rsidRPr="00C24F6C">
              <w:rPr>
                <w:b/>
              </w:rPr>
              <w:t>O</w:t>
            </w:r>
            <w:r>
              <w:t xml:space="preserve">   Observation</w:t>
            </w:r>
          </w:p>
        </w:tc>
      </w:tr>
    </w:tbl>
    <w:p w14:paraId="727CA2C5" w14:textId="77777777" w:rsidR="00D7178D" w:rsidRDefault="00D7178D" w:rsidP="00D7178D">
      <w:pPr>
        <w:widowControl w:val="0"/>
      </w:pPr>
    </w:p>
    <w:tbl>
      <w:tblPr>
        <w:tblStyle w:val="TableGrid"/>
        <w:tblW w:w="0" w:type="auto"/>
        <w:tblInd w:w="-5" w:type="dxa"/>
        <w:tblLayout w:type="fixed"/>
        <w:tblLook w:val="04A0" w:firstRow="1" w:lastRow="0" w:firstColumn="1" w:lastColumn="0" w:noHBand="0" w:noVBand="1"/>
      </w:tblPr>
      <w:tblGrid>
        <w:gridCol w:w="1276"/>
        <w:gridCol w:w="5954"/>
        <w:gridCol w:w="1701"/>
        <w:gridCol w:w="5061"/>
      </w:tblGrid>
      <w:tr w:rsidR="00107514" w14:paraId="08EE5A09" w14:textId="77777777" w:rsidTr="00714DC2">
        <w:trPr>
          <w:tblHeader/>
        </w:trPr>
        <w:tc>
          <w:tcPr>
            <w:tcW w:w="1276" w:type="dxa"/>
            <w:shd w:val="clear" w:color="auto" w:fill="D9D9D9" w:themeFill="background1" w:themeFillShade="D9"/>
            <w:vAlign w:val="top"/>
          </w:tcPr>
          <w:p w14:paraId="327D4F96" w14:textId="77777777" w:rsidR="00107514" w:rsidRDefault="00107514" w:rsidP="007B49FF">
            <w:pPr>
              <w:pStyle w:val="TableHeading"/>
              <w:keepNext w:val="0"/>
              <w:keepLines w:val="0"/>
              <w:widowControl w:val="0"/>
              <w:jc w:val="left"/>
            </w:pPr>
            <w:r>
              <w:t>Reference</w:t>
            </w:r>
          </w:p>
        </w:tc>
        <w:tc>
          <w:tcPr>
            <w:tcW w:w="5954" w:type="dxa"/>
            <w:shd w:val="clear" w:color="auto" w:fill="D9D9D9" w:themeFill="background1" w:themeFillShade="D9"/>
            <w:vAlign w:val="top"/>
          </w:tcPr>
          <w:p w14:paraId="0C62F640" w14:textId="77777777" w:rsidR="00107514" w:rsidRDefault="00107514" w:rsidP="007B49FF">
            <w:pPr>
              <w:pStyle w:val="TableHeading"/>
              <w:keepNext w:val="0"/>
              <w:keepLines w:val="0"/>
              <w:widowControl w:val="0"/>
              <w:jc w:val="left"/>
            </w:pPr>
            <w:r>
              <w:t>Requirements</w:t>
            </w:r>
          </w:p>
        </w:tc>
        <w:tc>
          <w:tcPr>
            <w:tcW w:w="1701" w:type="dxa"/>
            <w:shd w:val="clear" w:color="auto" w:fill="D9D9D9" w:themeFill="background1" w:themeFillShade="D9"/>
            <w:vAlign w:val="top"/>
          </w:tcPr>
          <w:p w14:paraId="4B8DB709" w14:textId="77777777" w:rsidR="00107514" w:rsidRDefault="00107514" w:rsidP="007B49FF">
            <w:pPr>
              <w:pStyle w:val="TableHeading"/>
              <w:keepNext w:val="0"/>
              <w:keepLines w:val="0"/>
              <w:widowControl w:val="0"/>
              <w:jc w:val="left"/>
            </w:pPr>
            <w:r>
              <w:t>Addressed</w:t>
            </w:r>
          </w:p>
        </w:tc>
        <w:tc>
          <w:tcPr>
            <w:tcW w:w="5061" w:type="dxa"/>
            <w:shd w:val="clear" w:color="auto" w:fill="D9D9D9" w:themeFill="background1" w:themeFillShade="D9"/>
            <w:vAlign w:val="top"/>
          </w:tcPr>
          <w:p w14:paraId="16B3C08B" w14:textId="77777777" w:rsidR="00107514" w:rsidRDefault="00107514" w:rsidP="007B49FF">
            <w:pPr>
              <w:pStyle w:val="TableHeading"/>
              <w:keepNext w:val="0"/>
              <w:keepLines w:val="0"/>
              <w:widowControl w:val="0"/>
              <w:jc w:val="left"/>
            </w:pPr>
            <w:r>
              <w:t>Comments/Observations</w:t>
            </w:r>
          </w:p>
        </w:tc>
      </w:tr>
      <w:tr w:rsidR="00554B3A" w14:paraId="241E9408" w14:textId="77777777" w:rsidTr="00EC3532">
        <w:tc>
          <w:tcPr>
            <w:tcW w:w="13992" w:type="dxa"/>
            <w:gridSpan w:val="4"/>
            <w:shd w:val="clear" w:color="auto" w:fill="F2F2F2" w:themeFill="background1" w:themeFillShade="F2"/>
            <w:vAlign w:val="top"/>
          </w:tcPr>
          <w:p w14:paraId="3B00ADF6" w14:textId="77777777" w:rsidR="00554B3A" w:rsidRDefault="00EC3532" w:rsidP="007B49FF">
            <w:pPr>
              <w:pStyle w:val="TableHeading"/>
              <w:keepNext w:val="0"/>
              <w:keepLines w:val="0"/>
              <w:widowControl w:val="0"/>
              <w:jc w:val="left"/>
            </w:pPr>
            <w:r>
              <w:t xml:space="preserve">RAMC </w:t>
            </w:r>
            <w:proofErr w:type="spellStart"/>
            <w:r>
              <w:t>GCoC</w:t>
            </w:r>
            <w:proofErr w:type="spellEnd"/>
            <w:r w:rsidR="007B49FF">
              <w:t xml:space="preserve"> for Contract Plan</w:t>
            </w:r>
          </w:p>
        </w:tc>
      </w:tr>
      <w:tr w:rsidR="007B49FF" w14:paraId="24F3B674" w14:textId="77777777" w:rsidTr="007B49FF">
        <w:tc>
          <w:tcPr>
            <w:tcW w:w="1276" w:type="dxa"/>
            <w:tcBorders>
              <w:top w:val="single" w:sz="4" w:space="0" w:color="auto"/>
              <w:left w:val="single" w:sz="4" w:space="0" w:color="auto"/>
              <w:bottom w:val="single" w:sz="4" w:space="0" w:color="auto"/>
              <w:right w:val="single" w:sz="4" w:space="0" w:color="auto"/>
            </w:tcBorders>
            <w:vAlign w:val="top"/>
          </w:tcPr>
          <w:p w14:paraId="4421AC55" w14:textId="77777777" w:rsidR="007B49FF" w:rsidRPr="00BE0317" w:rsidRDefault="007B49FF" w:rsidP="007B49FF">
            <w:pPr>
              <w:pStyle w:val="TableBodyText"/>
              <w:keepNext w:val="0"/>
              <w:keepLines w:val="0"/>
              <w:widowControl w:val="0"/>
            </w:pPr>
            <w:r w:rsidRPr="00BE0317">
              <w:t>Cl 13.1</w:t>
            </w:r>
          </w:p>
        </w:tc>
        <w:tc>
          <w:tcPr>
            <w:tcW w:w="5954" w:type="dxa"/>
            <w:tcBorders>
              <w:top w:val="single" w:sz="4" w:space="0" w:color="auto"/>
              <w:left w:val="single" w:sz="4" w:space="0" w:color="auto"/>
              <w:bottom w:val="single" w:sz="4" w:space="0" w:color="auto"/>
              <w:right w:val="single" w:sz="4" w:space="0" w:color="auto"/>
            </w:tcBorders>
            <w:vAlign w:val="top"/>
          </w:tcPr>
          <w:p w14:paraId="5ADCFFE9" w14:textId="77777777" w:rsidR="007B49FF" w:rsidRPr="00BE0317" w:rsidRDefault="0021608E" w:rsidP="007B49FF">
            <w:pPr>
              <w:pStyle w:val="TableBodyText"/>
              <w:keepNext w:val="0"/>
              <w:keepLines w:val="0"/>
              <w:widowControl w:val="0"/>
            </w:pPr>
            <w:sdt>
              <w:sdtPr>
                <w:id w:val="306061381"/>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EMP(M) submitted within 28 days of the Date of Award (or such other date agreed in writing by the Principal's Representative).</w:t>
            </w:r>
          </w:p>
        </w:tc>
        <w:tc>
          <w:tcPr>
            <w:tcW w:w="1701" w:type="dxa"/>
            <w:tcBorders>
              <w:left w:val="single" w:sz="4" w:space="0" w:color="auto"/>
            </w:tcBorders>
            <w:vAlign w:val="top"/>
          </w:tcPr>
          <w:p w14:paraId="6B526EF9" w14:textId="77777777" w:rsidR="007B49FF" w:rsidRDefault="007B49FF" w:rsidP="007B49FF">
            <w:pPr>
              <w:pStyle w:val="TableBodyText"/>
              <w:keepNext w:val="0"/>
              <w:keepLines w:val="0"/>
              <w:widowControl w:val="0"/>
            </w:pPr>
          </w:p>
        </w:tc>
        <w:tc>
          <w:tcPr>
            <w:tcW w:w="5061" w:type="dxa"/>
            <w:vAlign w:val="top"/>
          </w:tcPr>
          <w:p w14:paraId="547844C9" w14:textId="77777777" w:rsidR="007B49FF" w:rsidRDefault="007B49FF" w:rsidP="007B49FF">
            <w:pPr>
              <w:pStyle w:val="Bulletedlist"/>
              <w:keepNext w:val="0"/>
              <w:keepLines w:val="0"/>
              <w:widowControl w:val="0"/>
              <w:numPr>
                <w:ilvl w:val="0"/>
                <w:numId w:val="0"/>
              </w:numPr>
              <w:ind w:left="322" w:hanging="283"/>
            </w:pPr>
          </w:p>
        </w:tc>
      </w:tr>
      <w:tr w:rsidR="007B49FF" w14:paraId="128E00B4" w14:textId="77777777" w:rsidTr="007B49FF">
        <w:tc>
          <w:tcPr>
            <w:tcW w:w="1276" w:type="dxa"/>
            <w:tcBorders>
              <w:top w:val="single" w:sz="4" w:space="0" w:color="auto"/>
              <w:left w:val="single" w:sz="4" w:space="0" w:color="auto"/>
              <w:bottom w:val="single" w:sz="4" w:space="0" w:color="auto"/>
              <w:right w:val="single" w:sz="4" w:space="0" w:color="auto"/>
            </w:tcBorders>
            <w:vAlign w:val="top"/>
          </w:tcPr>
          <w:p w14:paraId="34AB350B" w14:textId="77777777" w:rsidR="007B49FF" w:rsidRPr="00BE0317" w:rsidRDefault="007B49FF" w:rsidP="007B49FF">
            <w:pPr>
              <w:pStyle w:val="TableBodyText"/>
              <w:keepNext w:val="0"/>
              <w:keepLines w:val="0"/>
              <w:widowControl w:val="0"/>
            </w:pPr>
            <w:r w:rsidRPr="00BE0317">
              <w:t>Cl 27.6</w:t>
            </w:r>
          </w:p>
        </w:tc>
        <w:tc>
          <w:tcPr>
            <w:tcW w:w="5954" w:type="dxa"/>
            <w:tcBorders>
              <w:top w:val="single" w:sz="4" w:space="0" w:color="auto"/>
              <w:left w:val="single" w:sz="4" w:space="0" w:color="auto"/>
              <w:bottom w:val="single" w:sz="4" w:space="0" w:color="auto"/>
              <w:right w:val="single" w:sz="4" w:space="0" w:color="auto"/>
            </w:tcBorders>
            <w:vAlign w:val="top"/>
          </w:tcPr>
          <w:p w14:paraId="271EA39D" w14:textId="77777777" w:rsidR="007B49FF" w:rsidRPr="00BE0317" w:rsidRDefault="0021608E" w:rsidP="007B49FF">
            <w:pPr>
              <w:pStyle w:val="TableBodyText"/>
              <w:keepNext w:val="0"/>
              <w:keepLines w:val="0"/>
              <w:widowControl w:val="0"/>
            </w:pPr>
            <w:sdt>
              <w:sdtPr>
                <w:id w:val="-402531805"/>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EMP (M) contain provisions for the management of minerals, fossils and relics found on Site, and shall notify the Principal's Representative of the discovery.</w:t>
            </w:r>
          </w:p>
        </w:tc>
        <w:tc>
          <w:tcPr>
            <w:tcW w:w="1701" w:type="dxa"/>
            <w:tcBorders>
              <w:left w:val="single" w:sz="4" w:space="0" w:color="auto"/>
            </w:tcBorders>
            <w:vAlign w:val="top"/>
          </w:tcPr>
          <w:p w14:paraId="5D7795DA" w14:textId="77777777" w:rsidR="007B49FF" w:rsidRDefault="007B49FF" w:rsidP="007B49FF">
            <w:pPr>
              <w:pStyle w:val="TableBodyText"/>
              <w:keepNext w:val="0"/>
              <w:keepLines w:val="0"/>
              <w:widowControl w:val="0"/>
            </w:pPr>
          </w:p>
        </w:tc>
        <w:tc>
          <w:tcPr>
            <w:tcW w:w="5061" w:type="dxa"/>
            <w:vAlign w:val="top"/>
          </w:tcPr>
          <w:p w14:paraId="4FBCA18A" w14:textId="77777777" w:rsidR="007B49FF" w:rsidRDefault="007B49FF" w:rsidP="007B49FF">
            <w:pPr>
              <w:pStyle w:val="TableBodyText"/>
              <w:keepNext w:val="0"/>
              <w:keepLines w:val="0"/>
              <w:widowControl w:val="0"/>
            </w:pPr>
          </w:p>
        </w:tc>
      </w:tr>
      <w:tr w:rsidR="007B49FF" w14:paraId="76EFF307" w14:textId="77777777" w:rsidTr="007B49FF">
        <w:tc>
          <w:tcPr>
            <w:tcW w:w="1276" w:type="dxa"/>
            <w:tcBorders>
              <w:top w:val="single" w:sz="4" w:space="0" w:color="auto"/>
              <w:left w:val="single" w:sz="4" w:space="0" w:color="auto"/>
              <w:bottom w:val="single" w:sz="4" w:space="0" w:color="auto"/>
              <w:right w:val="single" w:sz="4" w:space="0" w:color="auto"/>
            </w:tcBorders>
            <w:vAlign w:val="top"/>
          </w:tcPr>
          <w:p w14:paraId="6CBDBD7F" w14:textId="77777777" w:rsidR="007B49FF" w:rsidRPr="00BE0317" w:rsidRDefault="007B49FF" w:rsidP="007B49FF">
            <w:pPr>
              <w:pStyle w:val="TableBodyText"/>
              <w:keepNext w:val="0"/>
              <w:keepLines w:val="0"/>
              <w:widowControl w:val="0"/>
            </w:pPr>
            <w:r w:rsidRPr="00BE0317">
              <w:t xml:space="preserve">Cl 31 </w:t>
            </w:r>
          </w:p>
        </w:tc>
        <w:tc>
          <w:tcPr>
            <w:tcW w:w="5954" w:type="dxa"/>
            <w:tcBorders>
              <w:top w:val="single" w:sz="4" w:space="0" w:color="auto"/>
              <w:left w:val="single" w:sz="4" w:space="0" w:color="auto"/>
              <w:bottom w:val="single" w:sz="4" w:space="0" w:color="auto"/>
              <w:right w:val="single" w:sz="4" w:space="0" w:color="auto"/>
            </w:tcBorders>
            <w:vAlign w:val="top"/>
          </w:tcPr>
          <w:p w14:paraId="461BB59C" w14:textId="77777777" w:rsidR="007B49FF" w:rsidRPr="00BE0317" w:rsidRDefault="007B49FF" w:rsidP="007B49FF">
            <w:pPr>
              <w:pStyle w:val="TableBodyText"/>
              <w:keepNext w:val="0"/>
              <w:keepLines w:val="0"/>
              <w:widowControl w:val="0"/>
            </w:pPr>
            <w:r w:rsidRPr="00BE0317">
              <w:t>EMP (M) contains provisions for:</w:t>
            </w:r>
          </w:p>
          <w:p w14:paraId="301300E8" w14:textId="77777777" w:rsidR="007B49FF" w:rsidRPr="00BE0317" w:rsidRDefault="0021608E" w:rsidP="007B49FF">
            <w:pPr>
              <w:pStyle w:val="TableBodyText"/>
              <w:keepNext w:val="0"/>
              <w:keepLines w:val="0"/>
              <w:widowControl w:val="0"/>
            </w:pPr>
            <w:sdt>
              <w:sdtPr>
                <w:id w:val="1544943576"/>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Cl 31.1 general obligations</w:t>
            </w:r>
            <w:r w:rsidR="007B49FF">
              <w:t>,</w:t>
            </w:r>
          </w:p>
          <w:p w14:paraId="641698F3" w14:textId="77777777" w:rsidR="007B49FF" w:rsidRPr="00BE0317" w:rsidRDefault="0021608E" w:rsidP="007B49FF">
            <w:pPr>
              <w:pStyle w:val="TableBodyText"/>
              <w:keepNext w:val="0"/>
              <w:keepLines w:val="0"/>
              <w:widowControl w:val="0"/>
            </w:pPr>
            <w:sdt>
              <w:sdtPr>
                <w:id w:val="388698519"/>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Cl 31.2 indemnity</w:t>
            </w:r>
            <w:r w:rsidR="007B49FF">
              <w:t>,</w:t>
            </w:r>
          </w:p>
          <w:p w14:paraId="51F685DB" w14:textId="77777777" w:rsidR="007B49FF" w:rsidRPr="00BE0317" w:rsidRDefault="0021608E" w:rsidP="007B49FF">
            <w:pPr>
              <w:pStyle w:val="TableBodyText"/>
              <w:keepNext w:val="0"/>
              <w:keepLines w:val="0"/>
              <w:widowControl w:val="0"/>
            </w:pPr>
            <w:sdt>
              <w:sdtPr>
                <w:id w:val="765431430"/>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Cl 31.3 environmental audits</w:t>
            </w:r>
            <w:r w:rsidR="007B49FF">
              <w:t>,</w:t>
            </w:r>
          </w:p>
          <w:p w14:paraId="797A0BC1" w14:textId="77777777" w:rsidR="007B49FF" w:rsidRPr="00BE0317" w:rsidRDefault="0021608E" w:rsidP="007B49FF">
            <w:pPr>
              <w:pStyle w:val="TableBodyText"/>
              <w:keepNext w:val="0"/>
              <w:keepLines w:val="0"/>
              <w:widowControl w:val="0"/>
            </w:pPr>
            <w:sdt>
              <w:sdtPr>
                <w:id w:val="856002976"/>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Cl 31.4 environmental incidents</w:t>
            </w:r>
            <w:r w:rsidR="007B49FF">
              <w:t>.</w:t>
            </w:r>
          </w:p>
        </w:tc>
        <w:tc>
          <w:tcPr>
            <w:tcW w:w="1701" w:type="dxa"/>
            <w:tcBorders>
              <w:left w:val="single" w:sz="4" w:space="0" w:color="auto"/>
            </w:tcBorders>
            <w:vAlign w:val="top"/>
          </w:tcPr>
          <w:p w14:paraId="5A21EC37" w14:textId="77777777" w:rsidR="007B49FF" w:rsidRDefault="007B49FF" w:rsidP="007B49FF">
            <w:pPr>
              <w:pStyle w:val="TableBodyText"/>
              <w:keepNext w:val="0"/>
              <w:keepLines w:val="0"/>
              <w:widowControl w:val="0"/>
            </w:pPr>
          </w:p>
        </w:tc>
        <w:tc>
          <w:tcPr>
            <w:tcW w:w="5061" w:type="dxa"/>
            <w:vAlign w:val="top"/>
          </w:tcPr>
          <w:p w14:paraId="626FD29E" w14:textId="77777777" w:rsidR="007B49FF" w:rsidRDefault="007B49FF" w:rsidP="007B49FF">
            <w:pPr>
              <w:pStyle w:val="TableBodyText"/>
              <w:keepNext w:val="0"/>
              <w:keepLines w:val="0"/>
              <w:widowControl w:val="0"/>
            </w:pPr>
          </w:p>
        </w:tc>
      </w:tr>
      <w:tr w:rsidR="00714DC2" w14:paraId="59296B88" w14:textId="77777777" w:rsidTr="00714DC2">
        <w:tc>
          <w:tcPr>
            <w:tcW w:w="13992" w:type="dxa"/>
            <w:gridSpan w:val="4"/>
            <w:shd w:val="clear" w:color="auto" w:fill="F2F2F2" w:themeFill="background1" w:themeFillShade="F2"/>
            <w:vAlign w:val="top"/>
          </w:tcPr>
          <w:p w14:paraId="6E4B4881" w14:textId="77777777" w:rsidR="00714DC2" w:rsidRPr="00107514" w:rsidRDefault="00714DC2" w:rsidP="007B49FF">
            <w:pPr>
              <w:pStyle w:val="TableHeading"/>
              <w:keepNext w:val="0"/>
              <w:keepLines w:val="0"/>
              <w:widowControl w:val="0"/>
              <w:jc w:val="left"/>
            </w:pPr>
            <w:r>
              <w:t>RAMC Appendix L – Environmental and Cultural Heritage Management requirements for Contract Plan</w:t>
            </w:r>
          </w:p>
        </w:tc>
      </w:tr>
      <w:tr w:rsidR="007B49FF" w14:paraId="18305EF4" w14:textId="77777777" w:rsidTr="00714DC2">
        <w:tc>
          <w:tcPr>
            <w:tcW w:w="1276" w:type="dxa"/>
            <w:vAlign w:val="top"/>
          </w:tcPr>
          <w:p w14:paraId="250F2530" w14:textId="77777777" w:rsidR="007B49FF" w:rsidRPr="00BE0317" w:rsidRDefault="007B49FF" w:rsidP="007B49FF">
            <w:pPr>
              <w:pStyle w:val="TableBodyText"/>
              <w:keepNext w:val="0"/>
              <w:keepLines w:val="0"/>
              <w:widowControl w:val="0"/>
            </w:pPr>
            <w:r w:rsidRPr="00BE0317">
              <w:t>Cl 3</w:t>
            </w:r>
          </w:p>
        </w:tc>
        <w:tc>
          <w:tcPr>
            <w:tcW w:w="5954" w:type="dxa"/>
            <w:vAlign w:val="top"/>
          </w:tcPr>
          <w:p w14:paraId="511261AD" w14:textId="77777777" w:rsidR="007B49FF" w:rsidRPr="00BE0317" w:rsidRDefault="007B49FF" w:rsidP="007B49FF">
            <w:pPr>
              <w:pStyle w:val="TableBodyText"/>
              <w:keepNext w:val="0"/>
              <w:keepLines w:val="0"/>
              <w:widowControl w:val="0"/>
            </w:pPr>
            <w:r w:rsidRPr="00BE0317">
              <w:t>The EMP (M) contains provisions to:</w:t>
            </w:r>
          </w:p>
          <w:p w14:paraId="493A0F60" w14:textId="77777777" w:rsidR="007B49FF" w:rsidRPr="00BE0317" w:rsidRDefault="0021608E" w:rsidP="007B49FF">
            <w:pPr>
              <w:pStyle w:val="TableBodyText"/>
              <w:keepNext w:val="0"/>
              <w:keepLines w:val="0"/>
              <w:widowControl w:val="0"/>
            </w:pPr>
            <w:sdt>
              <w:sdtPr>
                <w:id w:val="630526466"/>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notify the Principal's Representative of works that will impact Sites of Aboriginal Cultural Heritage Significance</w:t>
            </w:r>
            <w:r w:rsidR="007B49FF">
              <w:t>,</w:t>
            </w:r>
          </w:p>
          <w:p w14:paraId="536CB46F" w14:textId="77777777" w:rsidR="007B49FF" w:rsidRPr="00BE0317" w:rsidRDefault="0021608E" w:rsidP="007B49FF">
            <w:pPr>
              <w:pStyle w:val="TableBodyText"/>
              <w:keepNext w:val="0"/>
              <w:keepLines w:val="0"/>
              <w:widowControl w:val="0"/>
            </w:pPr>
            <w:sdt>
              <w:sdtPr>
                <w:id w:val="412755369"/>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notify the Principal, request existing or </w:t>
            </w:r>
            <w:proofErr w:type="spellStart"/>
            <w:r w:rsidR="007B49FF" w:rsidRPr="00BE0317">
              <w:t>aquire</w:t>
            </w:r>
            <w:proofErr w:type="spellEnd"/>
            <w:r w:rsidR="007B49FF" w:rsidRPr="00BE0317">
              <w:t xml:space="preserve"> Exemption Certificates for Queensland Heritage Register listed Sites.</w:t>
            </w:r>
          </w:p>
        </w:tc>
        <w:tc>
          <w:tcPr>
            <w:tcW w:w="1701" w:type="dxa"/>
            <w:vAlign w:val="top"/>
          </w:tcPr>
          <w:p w14:paraId="0C52E902" w14:textId="77777777" w:rsidR="007B49FF" w:rsidRDefault="007B49FF" w:rsidP="007B49FF">
            <w:pPr>
              <w:pStyle w:val="TableBodyText"/>
              <w:keepNext w:val="0"/>
              <w:keepLines w:val="0"/>
              <w:widowControl w:val="0"/>
            </w:pPr>
          </w:p>
        </w:tc>
        <w:tc>
          <w:tcPr>
            <w:tcW w:w="5061" w:type="dxa"/>
            <w:vAlign w:val="top"/>
          </w:tcPr>
          <w:p w14:paraId="63C1ADAB" w14:textId="77777777" w:rsidR="007B49FF" w:rsidRDefault="007B49FF" w:rsidP="007B49FF">
            <w:pPr>
              <w:pStyle w:val="TableBodyText"/>
              <w:keepNext w:val="0"/>
              <w:keepLines w:val="0"/>
              <w:widowControl w:val="0"/>
            </w:pPr>
          </w:p>
        </w:tc>
      </w:tr>
      <w:tr w:rsidR="007B49FF" w14:paraId="58233BC7" w14:textId="77777777" w:rsidTr="00714DC2">
        <w:tc>
          <w:tcPr>
            <w:tcW w:w="1276" w:type="dxa"/>
            <w:vAlign w:val="top"/>
          </w:tcPr>
          <w:p w14:paraId="12B7645A" w14:textId="77777777" w:rsidR="007B49FF" w:rsidRPr="00BE0317" w:rsidRDefault="007B49FF" w:rsidP="007B49FF">
            <w:pPr>
              <w:pStyle w:val="TableBodyText"/>
              <w:keepNext w:val="0"/>
              <w:keepLines w:val="0"/>
              <w:widowControl w:val="0"/>
            </w:pPr>
            <w:r w:rsidRPr="00BE0317">
              <w:t>Cl 6.1</w:t>
            </w:r>
          </w:p>
        </w:tc>
        <w:tc>
          <w:tcPr>
            <w:tcW w:w="5954" w:type="dxa"/>
            <w:vAlign w:val="top"/>
          </w:tcPr>
          <w:p w14:paraId="20917C88" w14:textId="77777777" w:rsidR="007B49FF" w:rsidRPr="00BE0317" w:rsidDel="00E30CF9" w:rsidRDefault="0021608E" w:rsidP="007B49FF">
            <w:pPr>
              <w:pStyle w:val="TableBodyText"/>
              <w:keepNext w:val="0"/>
              <w:keepLines w:val="0"/>
              <w:widowControl w:val="0"/>
            </w:pPr>
            <w:sdt>
              <w:sdtPr>
                <w:id w:val="65464000"/>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That no works are to be commenced on Site until the relevant EMS, EMP(M) or EMP(C), </w:t>
            </w:r>
            <w:proofErr w:type="gramStart"/>
            <w:r w:rsidR="007B49FF" w:rsidRPr="00BE0317">
              <w:t>as the case may be with</w:t>
            </w:r>
            <w:proofErr w:type="gramEnd"/>
            <w:r w:rsidR="007B49FF" w:rsidRPr="00BE0317">
              <w:t xml:space="preserve"> amendments if required, is deemed suitable by written notice from the Principal’s Representative (</w:t>
            </w:r>
            <w:r w:rsidR="007B49FF" w:rsidRPr="00BE0317">
              <w:rPr>
                <w:b/>
                <w:i/>
              </w:rPr>
              <w:t>HOLD POINT</w:t>
            </w:r>
            <w:r w:rsidR="007B49FF" w:rsidRPr="00BE0317">
              <w:t>).</w:t>
            </w:r>
          </w:p>
        </w:tc>
        <w:tc>
          <w:tcPr>
            <w:tcW w:w="1701" w:type="dxa"/>
            <w:vAlign w:val="top"/>
          </w:tcPr>
          <w:p w14:paraId="08632ADA" w14:textId="77777777" w:rsidR="007B49FF" w:rsidRDefault="007B49FF" w:rsidP="007B49FF">
            <w:pPr>
              <w:pStyle w:val="TableBodyText"/>
              <w:keepNext w:val="0"/>
              <w:keepLines w:val="0"/>
              <w:widowControl w:val="0"/>
            </w:pPr>
          </w:p>
        </w:tc>
        <w:tc>
          <w:tcPr>
            <w:tcW w:w="5061" w:type="dxa"/>
            <w:vAlign w:val="top"/>
          </w:tcPr>
          <w:p w14:paraId="5F6F9E92" w14:textId="77777777" w:rsidR="007B49FF" w:rsidRDefault="007B49FF" w:rsidP="007B49FF">
            <w:pPr>
              <w:pStyle w:val="TableBodyText"/>
              <w:keepNext w:val="0"/>
              <w:keepLines w:val="0"/>
              <w:widowControl w:val="0"/>
            </w:pPr>
          </w:p>
        </w:tc>
      </w:tr>
      <w:tr w:rsidR="007B49FF" w14:paraId="1C14F241" w14:textId="77777777" w:rsidTr="00714DC2">
        <w:tc>
          <w:tcPr>
            <w:tcW w:w="1276" w:type="dxa"/>
            <w:vAlign w:val="top"/>
          </w:tcPr>
          <w:p w14:paraId="5AB91AFB" w14:textId="77777777" w:rsidR="007B49FF" w:rsidRPr="00BE0317" w:rsidRDefault="007B49FF" w:rsidP="007B49FF">
            <w:pPr>
              <w:pStyle w:val="TableBodyText"/>
              <w:keepNext w:val="0"/>
              <w:keepLines w:val="0"/>
              <w:widowControl w:val="0"/>
            </w:pPr>
            <w:r w:rsidRPr="00BE0317">
              <w:t xml:space="preserve">Cl 7 </w:t>
            </w:r>
          </w:p>
        </w:tc>
        <w:tc>
          <w:tcPr>
            <w:tcW w:w="5954" w:type="dxa"/>
            <w:vAlign w:val="top"/>
          </w:tcPr>
          <w:p w14:paraId="0A4CF949" w14:textId="77777777" w:rsidR="007B49FF" w:rsidRPr="00BE0317" w:rsidRDefault="007B49FF" w:rsidP="007B49FF">
            <w:pPr>
              <w:pStyle w:val="TableBodyText"/>
              <w:keepNext w:val="0"/>
              <w:keepLines w:val="0"/>
              <w:widowControl w:val="0"/>
              <w:rPr>
                <w:bCs/>
                <w:iCs/>
              </w:rPr>
            </w:pPr>
            <w:r w:rsidRPr="00BE0317">
              <w:rPr>
                <w:bCs/>
                <w:iCs/>
              </w:rPr>
              <w:t>The EMP (M) identifies:</w:t>
            </w:r>
          </w:p>
          <w:p w14:paraId="460420CA" w14:textId="77777777" w:rsidR="007B49FF" w:rsidRPr="00BE0317" w:rsidRDefault="007B49FF" w:rsidP="007B49FF">
            <w:pPr>
              <w:pStyle w:val="TableBodyText"/>
              <w:keepNext w:val="0"/>
              <w:keepLines w:val="0"/>
              <w:widowControl w:val="0"/>
              <w:rPr>
                <w:b/>
                <w:bCs/>
                <w:iCs/>
              </w:rPr>
            </w:pPr>
            <w:r w:rsidRPr="00BE0317">
              <w:rPr>
                <w:b/>
                <w:bCs/>
                <w:iCs/>
              </w:rPr>
              <w:t>Activities that trigger Environment Assessment</w:t>
            </w:r>
          </w:p>
          <w:p w14:paraId="276AB2DC" w14:textId="77777777" w:rsidR="007B49FF" w:rsidRPr="00BE0317" w:rsidRDefault="0021608E" w:rsidP="007B49FF">
            <w:pPr>
              <w:pStyle w:val="TableBodyText"/>
              <w:keepNext w:val="0"/>
              <w:keepLines w:val="0"/>
              <w:widowControl w:val="0"/>
            </w:pPr>
            <w:sdt>
              <w:sdtPr>
                <w:rPr>
                  <w:rFonts w:eastAsia="MS Gothic"/>
                </w:rPr>
                <w:id w:val="1741442234"/>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disposal of spoil or stockpiling of materials</w:t>
            </w:r>
            <w:r w:rsidR="007B49FF">
              <w:t>,</w:t>
            </w:r>
          </w:p>
          <w:p w14:paraId="435C74B8" w14:textId="77777777" w:rsidR="007B49FF" w:rsidRPr="00BE0317" w:rsidRDefault="0021608E" w:rsidP="007B49FF">
            <w:pPr>
              <w:pStyle w:val="TableBodyText"/>
              <w:keepNext w:val="0"/>
              <w:keepLines w:val="0"/>
              <w:widowControl w:val="0"/>
            </w:pPr>
            <w:sdt>
              <w:sdtPr>
                <w:rPr>
                  <w:rFonts w:eastAsia="MS Gothic"/>
                </w:rPr>
                <w:id w:val="-126475035"/>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use or establishment of any Site that provides quarry materials that is not a commercial quarry</w:t>
            </w:r>
            <w:r w:rsidR="007B49FF">
              <w:t>,</w:t>
            </w:r>
          </w:p>
          <w:p w14:paraId="4CF685AB" w14:textId="77777777" w:rsidR="007B49FF" w:rsidRPr="00BE0317" w:rsidRDefault="0021608E" w:rsidP="007B49FF">
            <w:pPr>
              <w:pStyle w:val="TableBodyText"/>
              <w:keepNext w:val="0"/>
              <w:keepLines w:val="0"/>
              <w:widowControl w:val="0"/>
            </w:pPr>
            <w:sdt>
              <w:sdtPr>
                <w:rPr>
                  <w:rFonts w:eastAsia="MS Gothic"/>
                </w:rPr>
                <w:id w:val="-862745683"/>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clearing outside of the established clear zone</w:t>
            </w:r>
            <w:r w:rsidR="007B49FF">
              <w:t>,</w:t>
            </w:r>
          </w:p>
          <w:p w14:paraId="2872CE42" w14:textId="77777777" w:rsidR="007B49FF" w:rsidRPr="00BE0317" w:rsidRDefault="0021608E" w:rsidP="007B49FF">
            <w:pPr>
              <w:pStyle w:val="TableBodyText"/>
              <w:keepNext w:val="0"/>
              <w:keepLines w:val="0"/>
              <w:widowControl w:val="0"/>
            </w:pPr>
            <w:sdt>
              <w:sdtPr>
                <w:rPr>
                  <w:rFonts w:eastAsia="MS Gothic"/>
                </w:rPr>
                <w:id w:val="-493110578"/>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night time works with potential cause noise disturbance to residents.</w:t>
            </w:r>
          </w:p>
          <w:p w14:paraId="575F8B59" w14:textId="77777777" w:rsidR="007B49FF" w:rsidRPr="00BE0317" w:rsidRDefault="007B49FF" w:rsidP="007B49FF">
            <w:pPr>
              <w:pStyle w:val="TableBodyText"/>
              <w:keepNext w:val="0"/>
              <w:keepLines w:val="0"/>
              <w:widowControl w:val="0"/>
            </w:pPr>
            <w:r w:rsidRPr="00BE0317">
              <w:t>Works in a waterway that are:</w:t>
            </w:r>
          </w:p>
          <w:p w14:paraId="0771B937" w14:textId="77777777" w:rsidR="007B49FF" w:rsidRPr="00BE0317" w:rsidRDefault="007B49FF" w:rsidP="007B49FF">
            <w:pPr>
              <w:pStyle w:val="TableBodyText"/>
              <w:keepNext w:val="0"/>
              <w:keepLines w:val="0"/>
              <w:widowControl w:val="0"/>
            </w:pPr>
            <w:r w:rsidRPr="00BE0317">
              <w:t>ground surface disturbance greater than 1ha that is located within 250m or less</w:t>
            </w:r>
            <w:r>
              <w:t>.</w:t>
            </w:r>
          </w:p>
          <w:p w14:paraId="30DB2B54" w14:textId="77777777" w:rsidR="007B49FF" w:rsidRPr="00BE0317" w:rsidRDefault="0021608E" w:rsidP="007B49FF">
            <w:pPr>
              <w:pStyle w:val="TableBodyText"/>
              <w:keepNext w:val="0"/>
              <w:keepLines w:val="0"/>
              <w:widowControl w:val="0"/>
            </w:pPr>
            <w:sdt>
              <w:sdtPr>
                <w:rPr>
                  <w:rFonts w:eastAsia="MS Gothic"/>
                </w:rPr>
                <w:id w:val="-157720282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a waterway (with defined bed and banks and water present), or</w:t>
            </w:r>
          </w:p>
          <w:p w14:paraId="6319FFC5" w14:textId="77777777" w:rsidR="007B49FF" w:rsidRPr="00BE0317" w:rsidRDefault="0021608E" w:rsidP="007B49FF">
            <w:pPr>
              <w:pStyle w:val="TableBodyText"/>
              <w:keepNext w:val="0"/>
              <w:keepLines w:val="0"/>
              <w:widowControl w:val="0"/>
            </w:pPr>
            <w:sdt>
              <w:sdtPr>
                <w:rPr>
                  <w:rFonts w:eastAsia="MS Gothic"/>
                </w:rPr>
                <w:id w:val="1708447586"/>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ii. a dam, or</w:t>
            </w:r>
          </w:p>
          <w:p w14:paraId="777602A1" w14:textId="77777777" w:rsidR="007B49FF" w:rsidRPr="00BE0317" w:rsidRDefault="0021608E" w:rsidP="007B49FF">
            <w:pPr>
              <w:pStyle w:val="TableBodyText"/>
              <w:keepNext w:val="0"/>
              <w:keepLines w:val="0"/>
              <w:widowControl w:val="0"/>
            </w:pPr>
            <w:sdt>
              <w:sdtPr>
                <w:rPr>
                  <w:rFonts w:eastAsia="MS Gothic"/>
                </w:rPr>
                <w:id w:val="157562453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iii. waterbody.</w:t>
            </w:r>
          </w:p>
          <w:p w14:paraId="054FC112" w14:textId="77777777" w:rsidR="007B49FF" w:rsidRPr="00BE0317" w:rsidRDefault="007B49FF" w:rsidP="007B49FF">
            <w:pPr>
              <w:pStyle w:val="TableBodyText"/>
              <w:keepNext w:val="0"/>
              <w:keepLines w:val="0"/>
              <w:widowControl w:val="0"/>
            </w:pPr>
            <w:r w:rsidRPr="00BE0317">
              <w:t>any disturbance within the high banks greater than 10 m2.</w:t>
            </w:r>
          </w:p>
          <w:p w14:paraId="5FAE7646" w14:textId="77777777" w:rsidR="007B49FF" w:rsidRPr="00BE0317" w:rsidRDefault="007B49FF" w:rsidP="007B49FF">
            <w:pPr>
              <w:pStyle w:val="TableBodyText"/>
              <w:keepNext w:val="0"/>
              <w:keepLines w:val="0"/>
              <w:widowControl w:val="0"/>
            </w:pPr>
            <w:r w:rsidRPr="00BE0317">
              <w:t>use of herbicide within the high banks of a waterway with water present.</w:t>
            </w:r>
          </w:p>
          <w:p w14:paraId="42FC581C" w14:textId="77777777" w:rsidR="007B49FF" w:rsidRPr="00BE0317" w:rsidRDefault="007B49FF" w:rsidP="007B49FF">
            <w:pPr>
              <w:pStyle w:val="TableBodyText"/>
              <w:keepNext w:val="0"/>
              <w:keepLines w:val="0"/>
              <w:widowControl w:val="0"/>
            </w:pPr>
            <w:r w:rsidRPr="00BE0317">
              <w:t>concrete works within the high banks of a waterway with water present.</w:t>
            </w:r>
          </w:p>
          <w:p w14:paraId="65CD0D9A" w14:textId="77777777" w:rsidR="007B49FF" w:rsidRPr="00BE0317" w:rsidRDefault="0021608E" w:rsidP="007B49FF">
            <w:pPr>
              <w:pStyle w:val="TableBodyText"/>
              <w:keepNext w:val="0"/>
              <w:keepLines w:val="0"/>
              <w:widowControl w:val="0"/>
            </w:pPr>
            <w:sdt>
              <w:sdtPr>
                <w:rPr>
                  <w:rFonts w:eastAsia="MS Gothic"/>
                </w:rPr>
                <w:id w:val="-1762676015"/>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rPr>
                <w:i/>
              </w:rPr>
              <w:t xml:space="preserve"> </w:t>
            </w:r>
            <w:r w:rsidR="007B49FF" w:rsidRPr="00BE0317">
              <w:t xml:space="preserve">works involving the removal or disturbance of a contaminant defined under the </w:t>
            </w:r>
            <w:r w:rsidR="007B49FF" w:rsidRPr="00BE0317">
              <w:rPr>
                <w:i/>
              </w:rPr>
              <w:t>Environment Protection Act</w:t>
            </w:r>
            <w:r w:rsidR="007B49FF" w:rsidRPr="00BE0317">
              <w:t xml:space="preserve">, </w:t>
            </w:r>
          </w:p>
          <w:p w14:paraId="068FA836" w14:textId="77777777" w:rsidR="007B49FF" w:rsidRPr="00BE0317" w:rsidRDefault="0021608E" w:rsidP="007B49FF">
            <w:pPr>
              <w:pStyle w:val="TableBodyText"/>
              <w:keepNext w:val="0"/>
              <w:keepLines w:val="0"/>
              <w:widowControl w:val="0"/>
            </w:pPr>
            <w:sdt>
              <w:sdtPr>
                <w:rPr>
                  <w:rFonts w:eastAsia="MS Gothic"/>
                </w:rPr>
                <w:id w:val="154811926"/>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works on a sediment basin or other secondary or tertiary treatment structure/device that does not have a management plan, and</w:t>
            </w:r>
          </w:p>
          <w:p w14:paraId="5034DC3C" w14:textId="77777777" w:rsidR="007B49FF" w:rsidRPr="00BE0317" w:rsidRDefault="0021608E" w:rsidP="007B49FF">
            <w:pPr>
              <w:pStyle w:val="TableBodyText"/>
              <w:keepNext w:val="0"/>
              <w:keepLines w:val="0"/>
              <w:widowControl w:val="0"/>
            </w:pPr>
            <w:sdt>
              <w:sdtPr>
                <w:id w:val="69011481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locations with a Biosecurity Instrument Permit.</w:t>
            </w:r>
          </w:p>
          <w:p w14:paraId="16F1C19E" w14:textId="77777777" w:rsidR="007B49FF" w:rsidRPr="00BE0317" w:rsidRDefault="007B49FF" w:rsidP="007B49FF">
            <w:pPr>
              <w:pStyle w:val="TableBodyText"/>
              <w:keepNext w:val="0"/>
              <w:keepLines w:val="0"/>
              <w:widowControl w:val="0"/>
              <w:rPr>
                <w:b/>
                <w:bCs/>
                <w:iCs/>
              </w:rPr>
            </w:pPr>
            <w:r w:rsidRPr="00BE0317">
              <w:rPr>
                <w:b/>
                <w:bCs/>
                <w:iCs/>
              </w:rPr>
              <w:t>Sites that trigger Environmental Assessment</w:t>
            </w:r>
          </w:p>
          <w:p w14:paraId="539D7961" w14:textId="77777777" w:rsidR="007B49FF" w:rsidRPr="00BE0317" w:rsidRDefault="0021608E" w:rsidP="007B49FF">
            <w:pPr>
              <w:pStyle w:val="TableBodyText"/>
              <w:keepNext w:val="0"/>
              <w:keepLines w:val="0"/>
              <w:widowControl w:val="0"/>
            </w:pPr>
            <w:sdt>
              <w:sdtPr>
                <w:rPr>
                  <w:rFonts w:eastAsia="MS Gothic"/>
                </w:rPr>
                <w:id w:val="1925841147"/>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rPr>
                <w:i/>
              </w:rPr>
              <w:t xml:space="preserve">  </w:t>
            </w:r>
            <w:r w:rsidR="007B49FF" w:rsidRPr="00BE0317">
              <w:t xml:space="preserve">any works in a </w:t>
            </w:r>
            <w:r w:rsidR="007B49FF">
              <w:t>w</w:t>
            </w:r>
            <w:r w:rsidR="007B49FF" w:rsidRPr="00BE0317">
              <w:t xml:space="preserve">orld </w:t>
            </w:r>
            <w:r w:rsidR="007B49FF">
              <w:t>h</w:t>
            </w:r>
            <w:r w:rsidR="007B49FF" w:rsidRPr="00BE0317">
              <w:t xml:space="preserve">eritage </w:t>
            </w:r>
            <w:r w:rsidR="007B49FF">
              <w:t>a</w:t>
            </w:r>
            <w:r w:rsidR="007B49FF" w:rsidRPr="00BE0317">
              <w:t xml:space="preserve">rea not covered by the </w:t>
            </w:r>
            <w:r w:rsidR="007B49FF" w:rsidRPr="00BE0317">
              <w:rPr>
                <w:i/>
              </w:rPr>
              <w:t>World Heritage Maintenance Code of Practice for Wet Tropics World Heritage Area</w:t>
            </w:r>
            <w:r w:rsidR="007B49FF" w:rsidRPr="00BE0317">
              <w:t>.</w:t>
            </w:r>
          </w:p>
          <w:p w14:paraId="5B4653CE" w14:textId="77777777" w:rsidR="007B49FF" w:rsidRPr="00BE0317" w:rsidRDefault="0021608E" w:rsidP="007B49FF">
            <w:pPr>
              <w:pStyle w:val="TableBodyText"/>
              <w:keepNext w:val="0"/>
              <w:keepLines w:val="0"/>
              <w:widowControl w:val="0"/>
            </w:pPr>
            <w:sdt>
              <w:sdtPr>
                <w:rPr>
                  <w:rFonts w:eastAsia="MS Gothic"/>
                </w:rPr>
                <w:id w:val="-802308318"/>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any works in a protected area defined under the </w:t>
            </w:r>
            <w:r w:rsidR="007B49FF" w:rsidRPr="00BE0317">
              <w:rPr>
                <w:i/>
              </w:rPr>
              <w:t>Nature Conservation Act</w:t>
            </w:r>
            <w:r w:rsidR="007B49FF" w:rsidRPr="00BE0317">
              <w:t>. Protected areas adjoining a road reserve where the works will not impact on the protected area are not included in this category.</w:t>
            </w:r>
          </w:p>
          <w:p w14:paraId="3409F04F" w14:textId="77777777" w:rsidR="007B49FF" w:rsidRPr="00BE0317" w:rsidRDefault="0021608E" w:rsidP="007B49FF">
            <w:pPr>
              <w:pStyle w:val="TableBodyText"/>
              <w:widowControl w:val="0"/>
            </w:pPr>
            <w:sdt>
              <w:sdtPr>
                <w:rPr>
                  <w:rFonts w:eastAsia="MS Gothic"/>
                </w:rPr>
                <w:id w:val="-908923384"/>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any works that cannot comply with the following Codes</w:t>
            </w:r>
          </w:p>
          <w:p w14:paraId="7C54E4CE" w14:textId="77777777" w:rsidR="007B49FF" w:rsidRPr="00BE0317" w:rsidRDefault="007B49FF" w:rsidP="007B49FF">
            <w:pPr>
              <w:pStyle w:val="TableBodyText"/>
              <w:widowControl w:val="0"/>
            </w:pPr>
            <w:r w:rsidRPr="00BE0317">
              <w:t>accepted development requirements for operational work that is completely or partly within a Fish Habitat Area.</w:t>
            </w:r>
          </w:p>
          <w:p w14:paraId="5FDAB86E" w14:textId="77777777" w:rsidR="007B49FF" w:rsidRPr="00BE0317" w:rsidRDefault="007B49FF" w:rsidP="007B49FF">
            <w:pPr>
              <w:pStyle w:val="TableBodyText"/>
              <w:widowControl w:val="0"/>
            </w:pPr>
            <w:r w:rsidRPr="00BE0317">
              <w:t>accepted development requirements for operational work that is constructing or raising waterway barrier works.</w:t>
            </w:r>
          </w:p>
          <w:p w14:paraId="64E24F11" w14:textId="77777777" w:rsidR="007B49FF" w:rsidRPr="00BE0317" w:rsidRDefault="007B49FF" w:rsidP="007B49FF">
            <w:pPr>
              <w:pStyle w:val="TableBodyText"/>
              <w:keepNext w:val="0"/>
              <w:keepLines w:val="0"/>
              <w:widowControl w:val="0"/>
            </w:pPr>
            <w:r w:rsidRPr="00BE0317">
              <w:t>accepted development requirements for operational work that is the removal, destruction or damage or marine plants.</w:t>
            </w:r>
          </w:p>
          <w:p w14:paraId="590029B9" w14:textId="77777777" w:rsidR="007B49FF" w:rsidRPr="00BE0317" w:rsidRDefault="007B49FF" w:rsidP="007B49FF">
            <w:pPr>
              <w:pStyle w:val="TableBodyText"/>
              <w:keepNext w:val="0"/>
              <w:keepLines w:val="0"/>
              <w:widowControl w:val="0"/>
            </w:pPr>
            <w:r w:rsidRPr="00BE0317">
              <w:t xml:space="preserve">riverine protection </w:t>
            </w:r>
            <w:proofErr w:type="gramStart"/>
            <w:r w:rsidRPr="00BE0317">
              <w:t>permit</w:t>
            </w:r>
            <w:proofErr w:type="gramEnd"/>
            <w:r w:rsidRPr="00BE0317">
              <w:t xml:space="preserve"> exemption requirements WSS/2013/726.</w:t>
            </w:r>
          </w:p>
          <w:p w14:paraId="764D8348" w14:textId="77777777" w:rsidR="007B49FF" w:rsidRPr="00BE0317" w:rsidRDefault="0021608E" w:rsidP="007B49FF">
            <w:pPr>
              <w:pStyle w:val="TableBodyText"/>
              <w:keepNext w:val="0"/>
              <w:keepLines w:val="0"/>
              <w:widowControl w:val="0"/>
            </w:pPr>
            <w:sdt>
              <w:sdtPr>
                <w:id w:val="31114391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any fauna infrastructure.</w:t>
            </w:r>
          </w:p>
        </w:tc>
        <w:tc>
          <w:tcPr>
            <w:tcW w:w="1701" w:type="dxa"/>
            <w:vAlign w:val="top"/>
          </w:tcPr>
          <w:p w14:paraId="16B262A3" w14:textId="77777777" w:rsidR="007B49FF" w:rsidRPr="008E0B12" w:rsidRDefault="007B49FF" w:rsidP="007B49FF">
            <w:pPr>
              <w:pStyle w:val="TableBodyText"/>
              <w:keepNext w:val="0"/>
              <w:keepLines w:val="0"/>
              <w:widowControl w:val="0"/>
            </w:pPr>
          </w:p>
        </w:tc>
        <w:tc>
          <w:tcPr>
            <w:tcW w:w="5061" w:type="dxa"/>
            <w:vAlign w:val="top"/>
          </w:tcPr>
          <w:p w14:paraId="547EB5E5" w14:textId="77777777" w:rsidR="007B49FF" w:rsidRDefault="007B49FF" w:rsidP="007B49FF">
            <w:pPr>
              <w:pStyle w:val="TableBodyText"/>
              <w:keepNext w:val="0"/>
              <w:keepLines w:val="0"/>
              <w:widowControl w:val="0"/>
            </w:pPr>
          </w:p>
        </w:tc>
      </w:tr>
      <w:tr w:rsidR="007B49FF" w14:paraId="4D340BBC" w14:textId="77777777" w:rsidTr="00714DC2">
        <w:tc>
          <w:tcPr>
            <w:tcW w:w="1276" w:type="dxa"/>
            <w:vAlign w:val="top"/>
          </w:tcPr>
          <w:p w14:paraId="6A9E55D7" w14:textId="77777777" w:rsidR="007B49FF" w:rsidRPr="00BE0317" w:rsidRDefault="007B49FF" w:rsidP="007B49FF">
            <w:pPr>
              <w:pStyle w:val="TableBodyText"/>
              <w:keepNext w:val="0"/>
              <w:keepLines w:val="0"/>
              <w:widowControl w:val="0"/>
            </w:pPr>
            <w:r w:rsidRPr="00BE0317">
              <w:lastRenderedPageBreak/>
              <w:t>Cl 8</w:t>
            </w:r>
          </w:p>
        </w:tc>
        <w:tc>
          <w:tcPr>
            <w:tcW w:w="5954" w:type="dxa"/>
            <w:vAlign w:val="top"/>
          </w:tcPr>
          <w:p w14:paraId="57501C14" w14:textId="77777777" w:rsidR="007B49FF" w:rsidRPr="00BE0317" w:rsidRDefault="007B49FF" w:rsidP="007B49FF">
            <w:pPr>
              <w:pStyle w:val="TableBodyText"/>
              <w:keepNext w:val="0"/>
              <w:keepLines w:val="0"/>
              <w:widowControl w:val="0"/>
            </w:pPr>
            <w:r w:rsidRPr="00BE0317">
              <w:t>EMP (M) contains provisions for:</w:t>
            </w:r>
          </w:p>
          <w:p w14:paraId="37521896" w14:textId="77777777" w:rsidR="007B49FF" w:rsidRPr="00BE0317" w:rsidRDefault="007B49FF" w:rsidP="007B49FF">
            <w:pPr>
              <w:pStyle w:val="TableBodyText"/>
              <w:keepNext w:val="0"/>
              <w:keepLines w:val="0"/>
              <w:widowControl w:val="0"/>
            </w:pPr>
            <w:r w:rsidRPr="00BE0317">
              <w:t>Cl 8.1 general requirements</w:t>
            </w:r>
          </w:p>
          <w:p w14:paraId="63860CDB" w14:textId="77777777" w:rsidR="007B49FF" w:rsidRPr="00BE0317" w:rsidRDefault="0021608E" w:rsidP="007B49FF">
            <w:pPr>
              <w:pStyle w:val="TableBodyText"/>
              <w:keepNext w:val="0"/>
              <w:keepLines w:val="0"/>
              <w:widowControl w:val="0"/>
            </w:pPr>
            <w:sdt>
              <w:sdtPr>
                <w:rPr>
                  <w:rFonts w:eastAsia="MS Gothic"/>
                </w:rPr>
                <w:id w:val="-2135704955"/>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all relevant environmental and cultural heritage </w:t>
            </w:r>
            <w:r w:rsidR="007B49FF">
              <w:t>s</w:t>
            </w:r>
            <w:r w:rsidR="007B49FF" w:rsidRPr="00BE0317">
              <w:t xml:space="preserve">tatutory </w:t>
            </w:r>
            <w:r w:rsidR="007B49FF">
              <w:t>r</w:t>
            </w:r>
            <w:r w:rsidR="007B49FF" w:rsidRPr="00BE0317">
              <w:t>equirements,</w:t>
            </w:r>
          </w:p>
          <w:p w14:paraId="28A809A6" w14:textId="77777777" w:rsidR="007B49FF" w:rsidRPr="00BE0317" w:rsidRDefault="0021608E" w:rsidP="007B49FF">
            <w:pPr>
              <w:pStyle w:val="TableBodyText"/>
              <w:keepNext w:val="0"/>
              <w:keepLines w:val="0"/>
              <w:widowControl w:val="0"/>
            </w:pPr>
            <w:sdt>
              <w:sdtPr>
                <w:rPr>
                  <w:rFonts w:eastAsia="MS Gothic"/>
                </w:rPr>
                <w:id w:val="922383986"/>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TMR specifications MRTS51 and MRS51 environmental management,</w:t>
            </w:r>
          </w:p>
          <w:p w14:paraId="5186E1D9" w14:textId="77777777" w:rsidR="007B49FF" w:rsidRPr="00BE0317" w:rsidRDefault="0021608E" w:rsidP="007B49FF">
            <w:pPr>
              <w:pStyle w:val="TableBodyText"/>
              <w:keepNext w:val="0"/>
              <w:keepLines w:val="0"/>
              <w:widowControl w:val="0"/>
            </w:pPr>
            <w:sdt>
              <w:sdtPr>
                <w:rPr>
                  <w:rFonts w:eastAsia="MS Gothic"/>
                </w:rPr>
                <w:id w:val="1505855639"/>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TMR specifications MRTS52 erosion and sediment control, and</w:t>
            </w:r>
          </w:p>
          <w:p w14:paraId="3E9312AE" w14:textId="77777777" w:rsidR="007B49FF" w:rsidRPr="00BE0317" w:rsidRDefault="0021608E" w:rsidP="007B49FF">
            <w:pPr>
              <w:pStyle w:val="TableBodyText"/>
              <w:keepNext w:val="0"/>
              <w:keepLines w:val="0"/>
              <w:widowControl w:val="0"/>
            </w:pPr>
            <w:sdt>
              <w:sdtPr>
                <w:rPr>
                  <w:rFonts w:eastAsia="MS Gothic"/>
                </w:rPr>
                <w:id w:val="-1123144177"/>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the requirements of </w:t>
            </w:r>
            <w:proofErr w:type="spellStart"/>
            <w:r w:rsidR="007B49FF" w:rsidRPr="00BE0317">
              <w:t>GCoC</w:t>
            </w:r>
            <w:proofErr w:type="spellEnd"/>
            <w:r w:rsidR="007B49FF" w:rsidRPr="00BE0317">
              <w:t>, Appendix A and Appendix L.</w:t>
            </w:r>
          </w:p>
          <w:p w14:paraId="2B4076AD" w14:textId="77777777" w:rsidR="007B49FF" w:rsidRPr="00BE0317" w:rsidRDefault="0021608E" w:rsidP="007B49FF">
            <w:pPr>
              <w:pStyle w:val="TableBodyText"/>
              <w:keepNext w:val="0"/>
              <w:keepLines w:val="0"/>
              <w:widowControl w:val="0"/>
            </w:pPr>
            <w:sdt>
              <w:sdtPr>
                <w:rPr>
                  <w:rFonts w:eastAsia="MS Gothic"/>
                </w:rPr>
                <w:id w:val="-2009976519"/>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Cl 8.2 Contract specific requirements</w:t>
            </w:r>
          </w:p>
          <w:p w14:paraId="6315A00A" w14:textId="77777777" w:rsidR="007B49FF" w:rsidRPr="00BE0317" w:rsidRDefault="007B49FF" w:rsidP="007B49FF">
            <w:pPr>
              <w:pStyle w:val="TableBodyText"/>
              <w:keepNext w:val="0"/>
              <w:keepLines w:val="0"/>
              <w:widowControl w:val="0"/>
            </w:pPr>
            <w:r w:rsidRPr="00BE0317">
              <w:t xml:space="preserve">Cl 8.3 environmental </w:t>
            </w:r>
            <w:r>
              <w:t>a</w:t>
            </w:r>
            <w:r w:rsidRPr="00BE0317">
              <w:t>pprovals</w:t>
            </w:r>
          </w:p>
          <w:p w14:paraId="4FA98DA0" w14:textId="77777777" w:rsidR="007B49FF" w:rsidRPr="00BE0317" w:rsidRDefault="0021608E" w:rsidP="007B49FF">
            <w:pPr>
              <w:pStyle w:val="TableBodyText"/>
              <w:keepNext w:val="0"/>
              <w:keepLines w:val="0"/>
              <w:widowControl w:val="0"/>
            </w:pPr>
            <w:sdt>
              <w:sdtPr>
                <w:id w:val="1918823783"/>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where an environmental approval contains conditions extending beyond the period of Contract, the Contractor sought advice from the Principal regarding acceptance prior to formalising the </w:t>
            </w:r>
            <w:r w:rsidR="007B49FF">
              <w:t>a</w:t>
            </w:r>
            <w:r w:rsidR="007B49FF" w:rsidRPr="00BE0317">
              <w:t>pproval,</w:t>
            </w:r>
          </w:p>
          <w:p w14:paraId="36AB25D7" w14:textId="77777777" w:rsidR="007B49FF" w:rsidRPr="00BE0317" w:rsidRDefault="0021608E" w:rsidP="007B49FF">
            <w:pPr>
              <w:pStyle w:val="TableBodyText"/>
              <w:keepNext w:val="0"/>
              <w:keepLines w:val="0"/>
              <w:widowControl w:val="0"/>
            </w:pPr>
            <w:sdt>
              <w:sdtPr>
                <w:id w:val="-223611608"/>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where an </w:t>
            </w:r>
            <w:r w:rsidR="007B49FF">
              <w:t>e</w:t>
            </w:r>
            <w:r w:rsidR="007B49FF" w:rsidRPr="00BE0317">
              <w:t xml:space="preserve">nvironmental </w:t>
            </w:r>
            <w:r w:rsidR="007B49FF">
              <w:t>a</w:t>
            </w:r>
            <w:r w:rsidR="007B49FF" w:rsidRPr="00BE0317">
              <w:t xml:space="preserve">pproval contains a reporting requirement or supply of data or documentation, the Contractor supplied this to the Principal’s Representative no later than 20 days prior to the dates specified in the </w:t>
            </w:r>
            <w:r w:rsidR="007B49FF">
              <w:t>a</w:t>
            </w:r>
            <w:r w:rsidR="007B49FF" w:rsidRPr="00BE0317">
              <w:t>pproval, and</w:t>
            </w:r>
          </w:p>
          <w:p w14:paraId="5ED78677" w14:textId="77777777" w:rsidR="007B49FF" w:rsidRPr="00BE0317" w:rsidRDefault="0021608E" w:rsidP="007B49FF">
            <w:pPr>
              <w:pStyle w:val="TableBodyText"/>
              <w:keepNext w:val="0"/>
              <w:keepLines w:val="0"/>
              <w:widowControl w:val="0"/>
            </w:pPr>
            <w:sdt>
              <w:sdtPr>
                <w:id w:val="-1971038805"/>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where an </w:t>
            </w:r>
            <w:r w:rsidR="007B49FF">
              <w:t>e</w:t>
            </w:r>
            <w:r w:rsidR="007B49FF" w:rsidRPr="00BE0317">
              <w:t xml:space="preserve">nvironmental </w:t>
            </w:r>
            <w:r w:rsidR="007B49FF">
              <w:t>a</w:t>
            </w:r>
            <w:r w:rsidR="007B49FF" w:rsidRPr="00BE0317">
              <w:t>pproval contains a reporting requirement, any reports were not published or released without written approval of the Principal.</w:t>
            </w:r>
          </w:p>
          <w:p w14:paraId="0D4E6983" w14:textId="77777777" w:rsidR="007B49FF" w:rsidRPr="00BE0317" w:rsidRDefault="007B49FF" w:rsidP="007B49FF">
            <w:pPr>
              <w:pStyle w:val="TableBodyText"/>
              <w:widowControl w:val="0"/>
            </w:pPr>
            <w:r w:rsidRPr="00BE0317">
              <w:lastRenderedPageBreak/>
              <w:t>Cl 8.4.1 EMP requirements</w:t>
            </w:r>
          </w:p>
          <w:p w14:paraId="143277BF" w14:textId="77777777" w:rsidR="007B49FF" w:rsidRPr="00BE0317" w:rsidRDefault="0021608E" w:rsidP="007B49FF">
            <w:pPr>
              <w:pStyle w:val="TableBodyText"/>
              <w:widowControl w:val="0"/>
            </w:pPr>
            <w:sdt>
              <w:sdtPr>
                <w:rPr>
                  <w:rFonts w:eastAsia="MS Gothic"/>
                </w:rPr>
                <w:id w:val="-38950212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Contractor's has an EMP Statement,</w:t>
            </w:r>
          </w:p>
          <w:p w14:paraId="6F2893DB" w14:textId="77777777" w:rsidR="007B49FF" w:rsidRPr="00BE0317" w:rsidRDefault="0021608E" w:rsidP="007B49FF">
            <w:pPr>
              <w:pStyle w:val="TableBodyText"/>
              <w:keepNext w:val="0"/>
              <w:keepLines w:val="0"/>
              <w:widowControl w:val="0"/>
              <w:rPr>
                <w:rFonts w:eastAsia="MS Gothic"/>
              </w:rPr>
            </w:pPr>
            <w:sdt>
              <w:sdtPr>
                <w:rPr>
                  <w:rFonts w:eastAsia="MS Gothic"/>
                </w:rPr>
                <w:id w:val="683178010"/>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rPr>
                <w:rFonts w:eastAsia="MS Gothic"/>
              </w:rPr>
              <w:t xml:space="preserve"> description of how the Contactor will abide by </w:t>
            </w:r>
            <w:r w:rsidR="007B49FF">
              <w:rPr>
                <w:rFonts w:eastAsia="MS Gothic"/>
              </w:rPr>
              <w:t>s</w:t>
            </w:r>
            <w:r w:rsidR="007B49FF" w:rsidRPr="00BE0317">
              <w:rPr>
                <w:rFonts w:eastAsia="MS Gothic"/>
              </w:rPr>
              <w:t xml:space="preserve">tatutory </w:t>
            </w:r>
            <w:r w:rsidR="007B49FF">
              <w:rPr>
                <w:rFonts w:eastAsia="MS Gothic"/>
              </w:rPr>
              <w:t>r</w:t>
            </w:r>
            <w:r w:rsidR="007B49FF" w:rsidRPr="00BE0317">
              <w:rPr>
                <w:rFonts w:eastAsia="MS Gothic"/>
              </w:rPr>
              <w:t>equirements,</w:t>
            </w:r>
          </w:p>
          <w:p w14:paraId="02BD1E9D" w14:textId="77777777" w:rsidR="007B49FF" w:rsidRPr="00BE0317" w:rsidRDefault="0021608E" w:rsidP="007B49FF">
            <w:pPr>
              <w:pStyle w:val="TableBodyText"/>
              <w:keepNext w:val="0"/>
              <w:keepLines w:val="0"/>
              <w:widowControl w:val="0"/>
              <w:rPr>
                <w:rFonts w:eastAsia="MS Gothic"/>
              </w:rPr>
            </w:pPr>
            <w:sdt>
              <w:sdtPr>
                <w:rPr>
                  <w:rFonts w:eastAsia="MS Gothic"/>
                </w:rPr>
                <w:id w:val="-702933098"/>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rPr>
                <w:rFonts w:eastAsia="MS Gothic"/>
              </w:rPr>
              <w:t xml:space="preserve"> documentation process for obtaining and supplying all relevant approvals, licences and permits,</w:t>
            </w:r>
          </w:p>
          <w:p w14:paraId="2C4C2FCC" w14:textId="77777777" w:rsidR="007B49FF" w:rsidRPr="00BE0317" w:rsidRDefault="0021608E" w:rsidP="007B49FF">
            <w:pPr>
              <w:pStyle w:val="TableBodyText"/>
              <w:keepNext w:val="0"/>
              <w:keepLines w:val="0"/>
              <w:widowControl w:val="0"/>
              <w:rPr>
                <w:rFonts w:eastAsia="MS Gothic"/>
              </w:rPr>
            </w:pPr>
            <w:sdt>
              <w:sdtPr>
                <w:rPr>
                  <w:rFonts w:eastAsia="MS Gothic"/>
                </w:rPr>
                <w:id w:val="608158557"/>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rPr>
                <w:rFonts w:eastAsia="MS Gothic"/>
              </w:rPr>
              <w:t xml:space="preserve"> documentation process for reporting data, and</w:t>
            </w:r>
          </w:p>
          <w:p w14:paraId="01D278E3" w14:textId="77777777" w:rsidR="007B49FF" w:rsidRPr="00BE0317" w:rsidRDefault="0021608E" w:rsidP="007B49FF">
            <w:pPr>
              <w:pStyle w:val="TableBodyText"/>
              <w:keepNext w:val="0"/>
              <w:keepLines w:val="0"/>
              <w:widowControl w:val="0"/>
              <w:rPr>
                <w:rFonts w:eastAsia="MS Gothic"/>
              </w:rPr>
            </w:pPr>
            <w:sdt>
              <w:sdtPr>
                <w:rPr>
                  <w:rFonts w:eastAsia="MS Gothic"/>
                </w:rPr>
                <w:id w:val="638693960"/>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rPr>
                <w:rFonts w:eastAsia="MS Gothic"/>
              </w:rPr>
              <w:t xml:space="preserve"> documentation process for how the Contractor will establish and maintain a stockpile register.</w:t>
            </w:r>
          </w:p>
          <w:p w14:paraId="0274436F" w14:textId="77777777" w:rsidR="007B49FF" w:rsidRPr="00BE0317" w:rsidRDefault="0021608E" w:rsidP="007B49FF">
            <w:pPr>
              <w:pStyle w:val="TableBodyText"/>
              <w:keepNext w:val="0"/>
              <w:keepLines w:val="0"/>
              <w:widowControl w:val="0"/>
            </w:pPr>
            <w:sdt>
              <w:sdtPr>
                <w:rPr>
                  <w:rFonts w:eastAsia="MS Gothic"/>
                </w:rPr>
                <w:id w:val="177497857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Cl 8.5 EMP updates and review</w:t>
            </w:r>
          </w:p>
        </w:tc>
        <w:tc>
          <w:tcPr>
            <w:tcW w:w="1701" w:type="dxa"/>
            <w:vAlign w:val="top"/>
          </w:tcPr>
          <w:p w14:paraId="414B97D3" w14:textId="77777777" w:rsidR="007B49FF" w:rsidRPr="003D7BBD" w:rsidRDefault="007B49FF" w:rsidP="007B49FF">
            <w:pPr>
              <w:pStyle w:val="TableBodyText"/>
              <w:keepNext w:val="0"/>
              <w:keepLines w:val="0"/>
              <w:widowControl w:val="0"/>
            </w:pPr>
          </w:p>
        </w:tc>
        <w:tc>
          <w:tcPr>
            <w:tcW w:w="5061" w:type="dxa"/>
            <w:vAlign w:val="top"/>
          </w:tcPr>
          <w:p w14:paraId="0C0C415C" w14:textId="77777777" w:rsidR="007B49FF" w:rsidRPr="003D7BBD" w:rsidRDefault="007B49FF" w:rsidP="007B49FF">
            <w:pPr>
              <w:pStyle w:val="TableBodyText"/>
              <w:keepNext w:val="0"/>
              <w:keepLines w:val="0"/>
              <w:widowControl w:val="0"/>
            </w:pPr>
          </w:p>
        </w:tc>
      </w:tr>
      <w:tr w:rsidR="007B49FF" w14:paraId="2671719E" w14:textId="77777777" w:rsidTr="00714DC2">
        <w:tc>
          <w:tcPr>
            <w:tcW w:w="1276" w:type="dxa"/>
            <w:vAlign w:val="top"/>
          </w:tcPr>
          <w:p w14:paraId="60B316AB" w14:textId="77777777" w:rsidR="007B49FF" w:rsidRPr="00BE0317" w:rsidRDefault="007B49FF" w:rsidP="007B49FF">
            <w:pPr>
              <w:pStyle w:val="TableBodyText"/>
              <w:keepNext w:val="0"/>
              <w:keepLines w:val="0"/>
              <w:widowControl w:val="0"/>
            </w:pPr>
            <w:r w:rsidRPr="00BE0317">
              <w:t>Cl 9.3</w:t>
            </w:r>
          </w:p>
        </w:tc>
        <w:tc>
          <w:tcPr>
            <w:tcW w:w="5954" w:type="dxa"/>
            <w:vAlign w:val="top"/>
          </w:tcPr>
          <w:p w14:paraId="51798320" w14:textId="77777777" w:rsidR="007B49FF" w:rsidRPr="00BE0317" w:rsidRDefault="0021608E" w:rsidP="007B49FF">
            <w:pPr>
              <w:pStyle w:val="TableBodyText"/>
              <w:keepNext w:val="0"/>
              <w:keepLines w:val="0"/>
              <w:widowControl w:val="0"/>
              <w:rPr>
                <w:rFonts w:eastAsia="MS Gothic"/>
              </w:rPr>
            </w:pPr>
            <w:sdt>
              <w:sdtPr>
                <w:rPr>
                  <w:rFonts w:eastAsia="MS Gothic"/>
                </w:rPr>
                <w:id w:val="679707103"/>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rPr>
                <w:rFonts w:eastAsia="MS Gothic"/>
              </w:rPr>
              <w:t xml:space="preserve"> </w:t>
            </w:r>
            <w:r w:rsidR="007B49FF" w:rsidRPr="00BE0317">
              <w:t xml:space="preserve"> EMP (M) contains provisions for</w:t>
            </w:r>
            <w:r w:rsidR="007B49FF" w:rsidRPr="00BE0317">
              <w:rPr>
                <w:rFonts w:eastAsia="MS Gothic"/>
              </w:rPr>
              <w:t xml:space="preserve"> at least one internal environmental audit during each year of the Contract.</w:t>
            </w:r>
          </w:p>
        </w:tc>
        <w:tc>
          <w:tcPr>
            <w:tcW w:w="1701" w:type="dxa"/>
            <w:vAlign w:val="top"/>
          </w:tcPr>
          <w:p w14:paraId="3DA836C5" w14:textId="77777777" w:rsidR="007B49FF" w:rsidRPr="003D7BBD" w:rsidRDefault="007B49FF" w:rsidP="007B49FF">
            <w:pPr>
              <w:pStyle w:val="TableBodyText"/>
              <w:keepNext w:val="0"/>
              <w:keepLines w:val="0"/>
              <w:widowControl w:val="0"/>
            </w:pPr>
          </w:p>
        </w:tc>
        <w:tc>
          <w:tcPr>
            <w:tcW w:w="5061" w:type="dxa"/>
            <w:vAlign w:val="top"/>
          </w:tcPr>
          <w:p w14:paraId="7949FCBA" w14:textId="77777777" w:rsidR="007B49FF" w:rsidRPr="003D7BBD" w:rsidRDefault="007B49FF" w:rsidP="007B49FF">
            <w:pPr>
              <w:pStyle w:val="TableBodyText"/>
              <w:keepNext w:val="0"/>
              <w:keepLines w:val="0"/>
              <w:widowControl w:val="0"/>
            </w:pPr>
          </w:p>
        </w:tc>
      </w:tr>
      <w:tr w:rsidR="007B49FF" w14:paraId="39865912" w14:textId="77777777" w:rsidTr="00714DC2">
        <w:tc>
          <w:tcPr>
            <w:tcW w:w="1276" w:type="dxa"/>
            <w:vAlign w:val="top"/>
          </w:tcPr>
          <w:p w14:paraId="69209296" w14:textId="77777777" w:rsidR="007B49FF" w:rsidRPr="00BE0317" w:rsidRDefault="007B49FF" w:rsidP="007B49FF">
            <w:pPr>
              <w:pStyle w:val="TableBodyText"/>
              <w:keepNext w:val="0"/>
              <w:keepLines w:val="0"/>
              <w:widowControl w:val="0"/>
            </w:pPr>
            <w:r w:rsidRPr="00BE0317">
              <w:t>Cl 9.4</w:t>
            </w:r>
          </w:p>
        </w:tc>
        <w:tc>
          <w:tcPr>
            <w:tcW w:w="5954" w:type="dxa"/>
            <w:vAlign w:val="top"/>
          </w:tcPr>
          <w:p w14:paraId="21A47CAE" w14:textId="77777777" w:rsidR="007B49FF" w:rsidRPr="00BE0317" w:rsidRDefault="007B49FF" w:rsidP="007B49FF">
            <w:pPr>
              <w:pStyle w:val="TableBodyText"/>
              <w:keepNext w:val="0"/>
              <w:keepLines w:val="0"/>
              <w:widowControl w:val="0"/>
            </w:pPr>
            <w:r w:rsidRPr="00BE0317">
              <w:t xml:space="preserve">The EMP (M) contains provisions for monitoring: </w:t>
            </w:r>
          </w:p>
          <w:p w14:paraId="3E4FE02D" w14:textId="77777777" w:rsidR="007B49FF" w:rsidRPr="00BE0317" w:rsidRDefault="0021608E" w:rsidP="007B49FF">
            <w:pPr>
              <w:pStyle w:val="TableBodyText"/>
              <w:keepNext w:val="0"/>
              <w:keepLines w:val="0"/>
              <w:widowControl w:val="0"/>
            </w:pPr>
            <w:sdt>
              <w:sdtPr>
                <w:id w:val="1303036484"/>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specific location/s,</w:t>
            </w:r>
          </w:p>
          <w:p w14:paraId="1957E455" w14:textId="77777777" w:rsidR="007B49FF" w:rsidRPr="00BE0317" w:rsidRDefault="0021608E" w:rsidP="007B49FF">
            <w:pPr>
              <w:pStyle w:val="TableBodyText"/>
              <w:keepNext w:val="0"/>
              <w:keepLines w:val="0"/>
              <w:widowControl w:val="0"/>
            </w:pPr>
            <w:sdt>
              <w:sdtPr>
                <w:id w:val="198985353"/>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methodology,</w:t>
            </w:r>
          </w:p>
          <w:p w14:paraId="5BDF5D61" w14:textId="77777777" w:rsidR="007B49FF" w:rsidRPr="00BE0317" w:rsidRDefault="0021608E" w:rsidP="007B49FF">
            <w:pPr>
              <w:pStyle w:val="TableBodyText"/>
              <w:keepNext w:val="0"/>
              <w:keepLines w:val="0"/>
              <w:widowControl w:val="0"/>
            </w:pPr>
            <w:sdt>
              <w:sdtPr>
                <w:id w:val="1159261654"/>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timing,</w:t>
            </w:r>
          </w:p>
          <w:p w14:paraId="230E3D8A" w14:textId="77777777" w:rsidR="007B49FF" w:rsidRPr="00BE0317" w:rsidRDefault="0021608E" w:rsidP="007B49FF">
            <w:pPr>
              <w:pStyle w:val="TableBodyText"/>
              <w:keepNext w:val="0"/>
              <w:keepLines w:val="0"/>
              <w:widowControl w:val="0"/>
            </w:pPr>
            <w:sdt>
              <w:sdtPr>
                <w:id w:val="-148399243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frequency,</w:t>
            </w:r>
          </w:p>
          <w:p w14:paraId="745B8ECD" w14:textId="77777777" w:rsidR="007B49FF" w:rsidRPr="00BE0317" w:rsidRDefault="0021608E" w:rsidP="007B49FF">
            <w:pPr>
              <w:pStyle w:val="TableBodyText"/>
              <w:keepNext w:val="0"/>
              <w:keepLines w:val="0"/>
              <w:widowControl w:val="0"/>
            </w:pPr>
            <w:sdt>
              <w:sdtPr>
                <w:id w:val="190185263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duration,</w:t>
            </w:r>
          </w:p>
          <w:p w14:paraId="77824D19" w14:textId="77777777" w:rsidR="007B49FF" w:rsidRPr="00BE0317" w:rsidRDefault="0021608E" w:rsidP="007B49FF">
            <w:pPr>
              <w:pStyle w:val="TableBodyText"/>
              <w:keepNext w:val="0"/>
              <w:keepLines w:val="0"/>
              <w:widowControl w:val="0"/>
            </w:pPr>
            <w:sdt>
              <w:sdtPr>
                <w:id w:val="-2135778868"/>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parameter to be </w:t>
            </w:r>
            <w:proofErr w:type="gramStart"/>
            <w:r w:rsidR="007B49FF" w:rsidRPr="00BE0317">
              <w:t>monitored ,</w:t>
            </w:r>
            <w:proofErr w:type="gramEnd"/>
          </w:p>
          <w:p w14:paraId="5CD4B762" w14:textId="77777777" w:rsidR="007B49FF" w:rsidRPr="00BE0317" w:rsidRDefault="0021608E" w:rsidP="007B49FF">
            <w:pPr>
              <w:pStyle w:val="TableBodyText"/>
              <w:keepNext w:val="0"/>
              <w:keepLines w:val="0"/>
              <w:widowControl w:val="0"/>
            </w:pPr>
            <w:sdt>
              <w:sdtPr>
                <w:id w:val="-1564403406"/>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objective / criteria measured against,</w:t>
            </w:r>
          </w:p>
          <w:p w14:paraId="678C1BD1" w14:textId="77777777" w:rsidR="007B49FF" w:rsidRPr="00BE0317" w:rsidRDefault="0021608E" w:rsidP="007B49FF">
            <w:pPr>
              <w:pStyle w:val="TableBodyText"/>
              <w:keepNext w:val="0"/>
              <w:keepLines w:val="0"/>
              <w:widowControl w:val="0"/>
            </w:pPr>
            <w:sdt>
              <w:sdtPr>
                <w:id w:val="1838265378"/>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provision for </w:t>
            </w:r>
            <w:proofErr w:type="spellStart"/>
            <w:r w:rsidR="007B49FF" w:rsidRPr="00BE0317">
              <w:t>non conformance</w:t>
            </w:r>
            <w:proofErr w:type="spellEnd"/>
            <w:r w:rsidR="007B49FF" w:rsidRPr="00BE0317">
              <w:t xml:space="preserve"> to be reported in monthly environmental report.</w:t>
            </w:r>
          </w:p>
        </w:tc>
        <w:tc>
          <w:tcPr>
            <w:tcW w:w="1701" w:type="dxa"/>
            <w:vAlign w:val="top"/>
          </w:tcPr>
          <w:p w14:paraId="05140C60" w14:textId="77777777" w:rsidR="007B49FF" w:rsidRPr="003D7BBD" w:rsidRDefault="007B49FF" w:rsidP="007B49FF">
            <w:pPr>
              <w:pStyle w:val="TableBodyText"/>
              <w:keepNext w:val="0"/>
              <w:keepLines w:val="0"/>
              <w:widowControl w:val="0"/>
            </w:pPr>
          </w:p>
        </w:tc>
        <w:tc>
          <w:tcPr>
            <w:tcW w:w="5061" w:type="dxa"/>
            <w:vAlign w:val="top"/>
          </w:tcPr>
          <w:p w14:paraId="6D2B847B" w14:textId="77777777" w:rsidR="007B49FF" w:rsidRPr="003D7BBD" w:rsidRDefault="007B49FF" w:rsidP="007B49FF">
            <w:pPr>
              <w:pStyle w:val="TableBodyText"/>
              <w:keepNext w:val="0"/>
              <w:keepLines w:val="0"/>
              <w:widowControl w:val="0"/>
            </w:pPr>
          </w:p>
        </w:tc>
      </w:tr>
      <w:tr w:rsidR="007B49FF" w14:paraId="78E9AC10" w14:textId="77777777" w:rsidTr="00714DC2">
        <w:tc>
          <w:tcPr>
            <w:tcW w:w="1276" w:type="dxa"/>
            <w:vAlign w:val="top"/>
          </w:tcPr>
          <w:p w14:paraId="7213E113" w14:textId="77777777" w:rsidR="007B49FF" w:rsidRPr="00BE0317" w:rsidRDefault="007B49FF" w:rsidP="007B49FF">
            <w:pPr>
              <w:pStyle w:val="TableBodyText"/>
              <w:keepNext w:val="0"/>
              <w:keepLines w:val="0"/>
              <w:widowControl w:val="0"/>
            </w:pPr>
            <w:r w:rsidRPr="00BE0317">
              <w:t>Cl 9.5</w:t>
            </w:r>
          </w:p>
        </w:tc>
        <w:tc>
          <w:tcPr>
            <w:tcW w:w="5954" w:type="dxa"/>
            <w:vAlign w:val="top"/>
          </w:tcPr>
          <w:p w14:paraId="7FAE986D" w14:textId="77777777" w:rsidR="007B49FF" w:rsidRPr="00BE0317" w:rsidRDefault="0021608E" w:rsidP="007B49FF">
            <w:pPr>
              <w:pStyle w:val="TableBodyText"/>
              <w:keepNext w:val="0"/>
              <w:keepLines w:val="0"/>
              <w:widowControl w:val="0"/>
            </w:pPr>
            <w:sdt>
              <w:sdtPr>
                <w:id w:val="1752317638"/>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EMP(M) contains mechanism to advise the Principals representative within 5 business days of any changes to management measures made to address exceptions.</w:t>
            </w:r>
          </w:p>
        </w:tc>
        <w:tc>
          <w:tcPr>
            <w:tcW w:w="1701" w:type="dxa"/>
            <w:vAlign w:val="top"/>
          </w:tcPr>
          <w:p w14:paraId="681A779E" w14:textId="77777777" w:rsidR="007B49FF" w:rsidRPr="003D7BBD" w:rsidRDefault="007B49FF" w:rsidP="007B49FF">
            <w:pPr>
              <w:pStyle w:val="TableBodyText"/>
              <w:keepNext w:val="0"/>
              <w:keepLines w:val="0"/>
              <w:widowControl w:val="0"/>
            </w:pPr>
          </w:p>
        </w:tc>
        <w:tc>
          <w:tcPr>
            <w:tcW w:w="5061" w:type="dxa"/>
            <w:vAlign w:val="top"/>
          </w:tcPr>
          <w:p w14:paraId="5A6BE980" w14:textId="77777777" w:rsidR="007B49FF" w:rsidRPr="003D7BBD" w:rsidRDefault="007B49FF" w:rsidP="007B49FF">
            <w:pPr>
              <w:pStyle w:val="TableBodyText"/>
              <w:keepNext w:val="0"/>
              <w:keepLines w:val="0"/>
              <w:widowControl w:val="0"/>
            </w:pPr>
          </w:p>
        </w:tc>
      </w:tr>
      <w:tr w:rsidR="007B49FF" w14:paraId="05A1316B" w14:textId="77777777" w:rsidTr="00714DC2">
        <w:tc>
          <w:tcPr>
            <w:tcW w:w="1276" w:type="dxa"/>
            <w:vAlign w:val="top"/>
          </w:tcPr>
          <w:p w14:paraId="377AD67A" w14:textId="77777777" w:rsidR="007B49FF" w:rsidRPr="00BE0317" w:rsidRDefault="007B49FF" w:rsidP="007B49FF">
            <w:pPr>
              <w:pStyle w:val="TableBodyText"/>
              <w:keepNext w:val="0"/>
              <w:keepLines w:val="0"/>
              <w:widowControl w:val="0"/>
            </w:pPr>
            <w:r w:rsidRPr="00BE0317">
              <w:t>Cl 9.6</w:t>
            </w:r>
          </w:p>
        </w:tc>
        <w:tc>
          <w:tcPr>
            <w:tcW w:w="5954" w:type="dxa"/>
            <w:vAlign w:val="top"/>
          </w:tcPr>
          <w:p w14:paraId="7E82D91D" w14:textId="77777777" w:rsidR="007B49FF" w:rsidRPr="00BE0317" w:rsidRDefault="0021608E" w:rsidP="007B49FF">
            <w:pPr>
              <w:pStyle w:val="TableBodyText"/>
              <w:keepNext w:val="0"/>
              <w:keepLines w:val="0"/>
              <w:widowControl w:val="0"/>
            </w:pPr>
            <w:sdt>
              <w:sdtPr>
                <w:id w:val="993301577"/>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EMP (M) contains procedures for notification and management of Environmental Incidents in accordance with relevant </w:t>
            </w:r>
            <w:proofErr w:type="spellStart"/>
            <w:r w:rsidR="007B49FF" w:rsidRPr="00BE0317">
              <w:t>legistlastion</w:t>
            </w:r>
            <w:proofErr w:type="spellEnd"/>
            <w:r w:rsidR="007B49FF" w:rsidRPr="00BE0317">
              <w:t xml:space="preserve"> and </w:t>
            </w:r>
            <w:r w:rsidR="007B49FF">
              <w:t>a</w:t>
            </w:r>
            <w:r w:rsidR="007B49FF" w:rsidRPr="00BE0317">
              <w:t>pproval conditions.</w:t>
            </w:r>
          </w:p>
        </w:tc>
        <w:tc>
          <w:tcPr>
            <w:tcW w:w="1701" w:type="dxa"/>
            <w:vAlign w:val="top"/>
          </w:tcPr>
          <w:p w14:paraId="7CD022B8" w14:textId="77777777" w:rsidR="007B49FF" w:rsidRPr="003D7BBD" w:rsidRDefault="007B49FF" w:rsidP="007B49FF">
            <w:pPr>
              <w:pStyle w:val="TableBodyText"/>
              <w:keepNext w:val="0"/>
              <w:keepLines w:val="0"/>
              <w:widowControl w:val="0"/>
            </w:pPr>
          </w:p>
        </w:tc>
        <w:tc>
          <w:tcPr>
            <w:tcW w:w="5061" w:type="dxa"/>
            <w:vAlign w:val="top"/>
          </w:tcPr>
          <w:p w14:paraId="57D0F057" w14:textId="77777777" w:rsidR="007B49FF" w:rsidRPr="003D7BBD" w:rsidRDefault="007B49FF" w:rsidP="007B49FF">
            <w:pPr>
              <w:pStyle w:val="TableBodyText"/>
              <w:keepNext w:val="0"/>
              <w:keepLines w:val="0"/>
              <w:widowControl w:val="0"/>
            </w:pPr>
          </w:p>
        </w:tc>
      </w:tr>
      <w:tr w:rsidR="007B49FF" w14:paraId="2707381F" w14:textId="77777777" w:rsidTr="00714DC2">
        <w:tc>
          <w:tcPr>
            <w:tcW w:w="1276" w:type="dxa"/>
            <w:vAlign w:val="top"/>
          </w:tcPr>
          <w:p w14:paraId="13F19A5C" w14:textId="77777777" w:rsidR="007B49FF" w:rsidRPr="00BE0317" w:rsidRDefault="007B49FF" w:rsidP="007B49FF">
            <w:pPr>
              <w:pStyle w:val="TableBodyText"/>
              <w:widowControl w:val="0"/>
            </w:pPr>
            <w:r w:rsidRPr="00BE0317">
              <w:lastRenderedPageBreak/>
              <w:t>Cl 9.7</w:t>
            </w:r>
          </w:p>
        </w:tc>
        <w:tc>
          <w:tcPr>
            <w:tcW w:w="5954" w:type="dxa"/>
            <w:vAlign w:val="top"/>
          </w:tcPr>
          <w:p w14:paraId="36BB6FA6" w14:textId="77777777" w:rsidR="007B49FF" w:rsidRPr="00BE0317" w:rsidRDefault="0021608E" w:rsidP="007B49FF">
            <w:pPr>
              <w:pStyle w:val="TableBodyText"/>
              <w:widowControl w:val="0"/>
            </w:pPr>
            <w:sdt>
              <w:sdtPr>
                <w:id w:val="-1475519547"/>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The EMP (M) contains provisions to notify the </w:t>
            </w:r>
            <w:proofErr w:type="spellStart"/>
            <w:r w:rsidR="007B49FF" w:rsidRPr="00BE0317">
              <w:t>Princpal's</w:t>
            </w:r>
            <w:proofErr w:type="spellEnd"/>
            <w:r w:rsidR="007B49FF" w:rsidRPr="00BE0317">
              <w:t xml:space="preserve"> Representative of a breach or </w:t>
            </w:r>
            <w:r w:rsidR="007B49FF">
              <w:t>a</w:t>
            </w:r>
            <w:r w:rsidR="007B49FF" w:rsidRPr="00BE0317">
              <w:t xml:space="preserve">pproval condition/s, reportable legislative breach, or actual or potential material or serious Environmental Harm (as identified in the </w:t>
            </w:r>
            <w:r w:rsidR="007B49FF" w:rsidRPr="00BE0317">
              <w:rPr>
                <w:i/>
              </w:rPr>
              <w:t>Environmental Protection Act 1994</w:t>
            </w:r>
            <w:r w:rsidR="007B49FF" w:rsidRPr="00BE0317">
              <w:t>) is identified.</w:t>
            </w:r>
          </w:p>
        </w:tc>
        <w:tc>
          <w:tcPr>
            <w:tcW w:w="1701" w:type="dxa"/>
            <w:vAlign w:val="top"/>
          </w:tcPr>
          <w:p w14:paraId="4FB6FDEF" w14:textId="77777777" w:rsidR="007B49FF" w:rsidRPr="003D7BBD" w:rsidRDefault="007B49FF" w:rsidP="007B49FF">
            <w:pPr>
              <w:pStyle w:val="TableBodyText"/>
              <w:widowControl w:val="0"/>
            </w:pPr>
          </w:p>
        </w:tc>
        <w:tc>
          <w:tcPr>
            <w:tcW w:w="5061" w:type="dxa"/>
            <w:vAlign w:val="top"/>
          </w:tcPr>
          <w:p w14:paraId="3A38905E" w14:textId="77777777" w:rsidR="007B49FF" w:rsidRPr="003D7BBD" w:rsidRDefault="007B49FF" w:rsidP="007B49FF">
            <w:pPr>
              <w:pStyle w:val="TableBodyText"/>
              <w:widowControl w:val="0"/>
            </w:pPr>
          </w:p>
        </w:tc>
      </w:tr>
      <w:tr w:rsidR="007B49FF" w14:paraId="4F3E33D7" w14:textId="77777777" w:rsidTr="00714DC2">
        <w:tc>
          <w:tcPr>
            <w:tcW w:w="1276" w:type="dxa"/>
            <w:vAlign w:val="top"/>
          </w:tcPr>
          <w:p w14:paraId="5B00CC29" w14:textId="77777777" w:rsidR="007B49FF" w:rsidRPr="00BE0317" w:rsidRDefault="007B49FF" w:rsidP="007B49FF">
            <w:pPr>
              <w:pStyle w:val="TableBodyText"/>
              <w:keepNext w:val="0"/>
              <w:keepLines w:val="0"/>
              <w:widowControl w:val="0"/>
            </w:pPr>
            <w:r w:rsidRPr="00BE0317">
              <w:t>Cl 9.8</w:t>
            </w:r>
          </w:p>
        </w:tc>
        <w:tc>
          <w:tcPr>
            <w:tcW w:w="5954" w:type="dxa"/>
            <w:vAlign w:val="top"/>
          </w:tcPr>
          <w:p w14:paraId="48A52500" w14:textId="77777777" w:rsidR="007B49FF" w:rsidRPr="00BE0317" w:rsidRDefault="007B49FF" w:rsidP="007B49FF">
            <w:pPr>
              <w:pStyle w:val="TableBodyText"/>
              <w:keepNext w:val="0"/>
              <w:keepLines w:val="0"/>
              <w:widowControl w:val="0"/>
            </w:pPr>
            <w:r w:rsidRPr="00BE0317">
              <w:t>EMP (M) contains provisions to keep, maintain and submit the following documents to the Principal's Representative:</w:t>
            </w:r>
          </w:p>
          <w:p w14:paraId="02893E41" w14:textId="77777777" w:rsidR="007B49FF" w:rsidRPr="00BE0317" w:rsidRDefault="0021608E" w:rsidP="007B49FF">
            <w:pPr>
              <w:pStyle w:val="TableBodyText"/>
              <w:keepNext w:val="0"/>
              <w:keepLines w:val="0"/>
              <w:widowControl w:val="0"/>
            </w:pPr>
            <w:sdt>
              <w:sdtPr>
                <w:rPr>
                  <w:rFonts w:eastAsia="MS Gothic"/>
                </w:rPr>
                <w:id w:val="1652013503"/>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Contractor environment audit reports and subsequent corrective actions taken,</w:t>
            </w:r>
          </w:p>
          <w:p w14:paraId="66260181" w14:textId="77777777" w:rsidR="007B49FF" w:rsidRPr="00BE0317" w:rsidRDefault="0021608E" w:rsidP="007B49FF">
            <w:pPr>
              <w:pStyle w:val="TableBodyText"/>
              <w:keepNext w:val="0"/>
              <w:keepLines w:val="0"/>
              <w:widowControl w:val="0"/>
              <w:rPr>
                <w:rFonts w:eastAsia="MS-Gothic"/>
              </w:rPr>
            </w:pPr>
            <w:sdt>
              <w:sdtPr>
                <w:id w:val="-50006960"/>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formal letters from </w:t>
            </w:r>
            <w:r w:rsidR="007B49FF">
              <w:t>a</w:t>
            </w:r>
            <w:r w:rsidR="007B49FF" w:rsidRPr="00BE0317">
              <w:t xml:space="preserve">dministering </w:t>
            </w:r>
            <w:r w:rsidR="007B49FF">
              <w:t>a</w:t>
            </w:r>
            <w:r w:rsidR="007B49FF" w:rsidRPr="00BE0317">
              <w:t>uthorities,</w:t>
            </w:r>
          </w:p>
          <w:p w14:paraId="5B148D0D" w14:textId="77777777" w:rsidR="007B49FF" w:rsidRPr="00BE0317" w:rsidRDefault="0021608E" w:rsidP="007B49FF">
            <w:pPr>
              <w:pStyle w:val="TableBodyText"/>
              <w:keepNext w:val="0"/>
              <w:keepLines w:val="0"/>
              <w:widowControl w:val="0"/>
            </w:pPr>
            <w:sdt>
              <w:sdtPr>
                <w:id w:val="-518082810"/>
                <w14:checkbox>
                  <w14:checked w14:val="0"/>
                  <w14:checkedState w14:val="2612" w14:font="MS Gothic"/>
                  <w14:uncheckedState w14:val="2610" w14:font="MS Gothic"/>
                </w14:checkbox>
              </w:sdtPr>
              <w:sdtEndPr/>
              <w:sdtContent>
                <w:r w:rsidR="007B49FF" w:rsidRPr="00BE0317">
                  <w:rPr>
                    <w:rFonts w:ascii="Segoe UI Symbol" w:hAnsi="Segoe UI Symbol" w:cs="Segoe UI Symbol"/>
                  </w:rPr>
                  <w:t>☐</w:t>
                </w:r>
              </w:sdtContent>
            </w:sdt>
            <w:r w:rsidR="007B49FF" w:rsidRPr="00BE0317">
              <w:t xml:space="preserve">  biosecurity matter certificates, Biosecurity Instrument Permits and biosecurity management documentation,</w:t>
            </w:r>
          </w:p>
          <w:p w14:paraId="3E741EBD" w14:textId="77777777" w:rsidR="007B49FF" w:rsidRPr="00BE0317" w:rsidRDefault="0021608E" w:rsidP="007B49FF">
            <w:pPr>
              <w:pStyle w:val="TableBodyText"/>
              <w:keepNext w:val="0"/>
              <w:keepLines w:val="0"/>
              <w:widowControl w:val="0"/>
            </w:pPr>
            <w:sdt>
              <w:sdtPr>
                <w:id w:val="-458723854"/>
                <w14:checkbox>
                  <w14:checked w14:val="0"/>
                  <w14:checkedState w14:val="2612" w14:font="MS Gothic"/>
                  <w14:uncheckedState w14:val="2610" w14:font="MS Gothic"/>
                </w14:checkbox>
              </w:sdtPr>
              <w:sdtEndPr/>
              <w:sdtContent>
                <w:r w:rsidR="007B49FF" w:rsidRPr="00BE0317">
                  <w:rPr>
                    <w:rFonts w:ascii="Segoe UI Symbol" w:hAnsi="Segoe UI Symbol" w:cs="Segoe UI Symbol"/>
                  </w:rPr>
                  <w:t>☐</w:t>
                </w:r>
              </w:sdtContent>
            </w:sdt>
            <w:r w:rsidR="007B49FF" w:rsidRPr="00BE0317">
              <w:t xml:space="preserve">  complete register kept under Species Management Program of animal breeding place/s tampered with and injury/s or death/s to native fauna,</w:t>
            </w:r>
          </w:p>
          <w:p w14:paraId="07CC0B89" w14:textId="77777777" w:rsidR="007B49FF" w:rsidRPr="00BE0317" w:rsidRDefault="0021608E" w:rsidP="007B49FF">
            <w:pPr>
              <w:pStyle w:val="TableBodyText"/>
              <w:keepNext w:val="0"/>
              <w:keepLines w:val="0"/>
              <w:widowControl w:val="0"/>
            </w:pPr>
            <w:sdt>
              <w:sdtPr>
                <w:id w:val="-1398125727"/>
                <w14:checkbox>
                  <w14:checked w14:val="0"/>
                  <w14:checkedState w14:val="2612" w14:font="MS Gothic"/>
                  <w14:uncheckedState w14:val="2610" w14:font="MS Gothic"/>
                </w14:checkbox>
              </w:sdtPr>
              <w:sdtEndPr/>
              <w:sdtContent>
                <w:r w:rsidR="007B49FF" w:rsidRPr="00BE0317">
                  <w:rPr>
                    <w:rFonts w:ascii="Segoe UI Symbol" w:hAnsi="Segoe UI Symbol" w:cs="Segoe UI Symbol"/>
                  </w:rPr>
                  <w:t>☐</w:t>
                </w:r>
              </w:sdtContent>
            </w:sdt>
            <w:r w:rsidR="007B49FF" w:rsidRPr="00BE0317">
              <w:t xml:space="preserve">  records to demonstrate and document compliance with </w:t>
            </w:r>
            <w:r w:rsidR="007B49FF">
              <w:t>e</w:t>
            </w:r>
            <w:r w:rsidR="007B49FF" w:rsidRPr="00BE0317">
              <w:t xml:space="preserve">nvironmental </w:t>
            </w:r>
            <w:r w:rsidR="007B49FF">
              <w:t>a</w:t>
            </w:r>
            <w:r w:rsidR="007B49FF" w:rsidRPr="00BE0317">
              <w:t>pprovals held by Principal and Contractor. This should also include a register of water and quarry materials extracted from non-commercial sources under the Contract by source ite</w:t>
            </w:r>
            <w:r w:rsidR="007B49FF">
              <w:t>m</w:t>
            </w:r>
            <w:r w:rsidR="007B49FF" w:rsidRPr="00BE0317">
              <w:t>,</w:t>
            </w:r>
          </w:p>
          <w:p w14:paraId="39E33633" w14:textId="77777777" w:rsidR="007B49FF" w:rsidRPr="00BE0317" w:rsidRDefault="0021608E" w:rsidP="007B49FF">
            <w:pPr>
              <w:pStyle w:val="TableBodyText"/>
              <w:keepNext w:val="0"/>
              <w:keepLines w:val="0"/>
              <w:widowControl w:val="0"/>
            </w:pPr>
            <w:sdt>
              <w:sdtPr>
                <w:id w:val="1799254376"/>
                <w14:checkbox>
                  <w14:checked w14:val="0"/>
                  <w14:checkedState w14:val="2612" w14:font="MS Gothic"/>
                  <w14:uncheckedState w14:val="2610" w14:font="MS Gothic"/>
                </w14:checkbox>
              </w:sdtPr>
              <w:sdtEndPr/>
              <w:sdtContent>
                <w:r w:rsidR="007B49FF" w:rsidRPr="00BE0317">
                  <w:rPr>
                    <w:rFonts w:ascii="Segoe UI Symbol" w:hAnsi="Segoe UI Symbol" w:cs="Segoe UI Symbol"/>
                  </w:rPr>
                  <w:t>☐</w:t>
                </w:r>
              </w:sdtContent>
            </w:sdt>
            <w:r w:rsidR="007B49FF" w:rsidRPr="00BE0317">
              <w:t xml:space="preserve">  electronic copy of waste tracking records and, where required by clause 11.2 of Annexure MRTS51.1, a completed waste register (MRTS51 Appendix C),</w:t>
            </w:r>
          </w:p>
          <w:p w14:paraId="5CA31B8A" w14:textId="77777777" w:rsidR="007B49FF" w:rsidRPr="00BE0317" w:rsidRDefault="0021608E" w:rsidP="007B49FF">
            <w:pPr>
              <w:pStyle w:val="TableBodyText"/>
              <w:keepNext w:val="0"/>
              <w:keepLines w:val="0"/>
              <w:widowControl w:val="0"/>
            </w:pPr>
            <w:sdt>
              <w:sdtPr>
                <w:id w:val="-316808014"/>
                <w14:checkbox>
                  <w14:checked w14:val="0"/>
                  <w14:checkedState w14:val="2612" w14:font="MS Gothic"/>
                  <w14:uncheckedState w14:val="2610" w14:font="MS Gothic"/>
                </w14:checkbox>
              </w:sdtPr>
              <w:sdtEndPr/>
              <w:sdtContent>
                <w:r w:rsidR="007B49FF" w:rsidRPr="00BE0317">
                  <w:rPr>
                    <w:rFonts w:ascii="Segoe UI Symbol" w:hAnsi="Segoe UI Symbol" w:cs="Segoe UI Symbol"/>
                  </w:rPr>
                  <w:t>☐</w:t>
                </w:r>
              </w:sdtContent>
            </w:sdt>
            <w:r w:rsidR="007B49FF" w:rsidRPr="00BE0317">
              <w:t xml:space="preserve">  any other record identified within the Contractor’s EMP (M) or the specification,</w:t>
            </w:r>
          </w:p>
          <w:p w14:paraId="7864753D" w14:textId="77777777" w:rsidR="007B49FF" w:rsidRPr="00BE0317" w:rsidRDefault="0021608E" w:rsidP="007B49FF">
            <w:pPr>
              <w:pStyle w:val="TableBodyText"/>
              <w:keepNext w:val="0"/>
              <w:keepLines w:val="0"/>
              <w:widowControl w:val="0"/>
            </w:pPr>
            <w:sdt>
              <w:sdtPr>
                <w:id w:val="-717364991"/>
                <w14:checkbox>
                  <w14:checked w14:val="0"/>
                  <w14:checkedState w14:val="2612" w14:font="MS Gothic"/>
                  <w14:uncheckedState w14:val="2610" w14:font="MS Gothic"/>
                </w14:checkbox>
              </w:sdtPr>
              <w:sdtEndPr/>
              <w:sdtContent>
                <w:r w:rsidR="007B49FF" w:rsidRPr="00BE0317">
                  <w:rPr>
                    <w:rFonts w:ascii="Segoe UI Symbol" w:hAnsi="Segoe UI Symbol" w:cs="Segoe UI Symbol"/>
                  </w:rPr>
                  <w:t>☐</w:t>
                </w:r>
              </w:sdtContent>
            </w:sdt>
            <w:r w:rsidR="007B49FF" w:rsidRPr="00BE0317">
              <w:t xml:space="preserve">  as constructed drawings and maintenance plans for any permanent environmental management </w:t>
            </w:r>
            <w:proofErr w:type="spellStart"/>
            <w:proofErr w:type="gramStart"/>
            <w:r w:rsidR="007B49FF" w:rsidRPr="00BE0317">
              <w:t>infrastructure.constructed</w:t>
            </w:r>
            <w:proofErr w:type="spellEnd"/>
            <w:proofErr w:type="gramEnd"/>
            <w:r w:rsidR="007B49FF" w:rsidRPr="00BE0317">
              <w:t xml:space="preserve"> (</w:t>
            </w:r>
            <w:proofErr w:type="spellStart"/>
            <w:r w:rsidR="007B49FF">
              <w:t>i.e</w:t>
            </w:r>
            <w:proofErr w:type="spellEnd"/>
            <w:r w:rsidR="007B49FF" w:rsidRPr="00BE0317">
              <w:t xml:space="preserve"> sediment basins, fauna management infrastructure).</w:t>
            </w:r>
          </w:p>
          <w:p w14:paraId="40F2ABE2" w14:textId="77777777" w:rsidR="007B49FF" w:rsidRPr="00BE0317" w:rsidRDefault="0021608E" w:rsidP="007B49FF">
            <w:pPr>
              <w:pStyle w:val="TableBodyText"/>
              <w:keepNext w:val="0"/>
              <w:keepLines w:val="0"/>
              <w:widowControl w:val="0"/>
              <w:rPr>
                <w:bCs/>
              </w:rPr>
            </w:pPr>
            <w:sdt>
              <w:sdtPr>
                <w:rPr>
                  <w:rFonts w:eastAsia="MS Gothic"/>
                </w:rPr>
                <w:id w:val="-2143411962"/>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details regarding ongoing management, monitoring or reporting requirements related to </w:t>
            </w:r>
            <w:r w:rsidR="007B49FF">
              <w:t>e</w:t>
            </w:r>
            <w:r w:rsidR="007B49FF" w:rsidRPr="00BE0317">
              <w:t xml:space="preserve">nvironmental </w:t>
            </w:r>
            <w:r w:rsidR="007B49FF">
              <w:t>a</w:t>
            </w:r>
            <w:r w:rsidR="007B49FF" w:rsidRPr="00BE0317">
              <w:t>pprovals held by Principal or Contractor in relation to works under the Contract.</w:t>
            </w:r>
          </w:p>
        </w:tc>
        <w:tc>
          <w:tcPr>
            <w:tcW w:w="1701" w:type="dxa"/>
            <w:vAlign w:val="top"/>
          </w:tcPr>
          <w:p w14:paraId="38B8C75B" w14:textId="77777777" w:rsidR="007B49FF" w:rsidRPr="003D7BBD" w:rsidRDefault="007B49FF" w:rsidP="007B49FF">
            <w:pPr>
              <w:pStyle w:val="TableBodyText"/>
              <w:keepNext w:val="0"/>
              <w:keepLines w:val="0"/>
              <w:widowControl w:val="0"/>
            </w:pPr>
          </w:p>
        </w:tc>
        <w:tc>
          <w:tcPr>
            <w:tcW w:w="5061" w:type="dxa"/>
            <w:vAlign w:val="top"/>
          </w:tcPr>
          <w:p w14:paraId="23C4C820" w14:textId="77777777" w:rsidR="007B49FF" w:rsidRPr="003D7BBD" w:rsidRDefault="007B49FF" w:rsidP="007B49FF">
            <w:pPr>
              <w:pStyle w:val="TableBodyText"/>
              <w:keepNext w:val="0"/>
              <w:keepLines w:val="0"/>
              <w:widowControl w:val="0"/>
            </w:pPr>
          </w:p>
        </w:tc>
      </w:tr>
      <w:tr w:rsidR="007B49FF" w14:paraId="2031AE2C" w14:textId="77777777" w:rsidTr="00714DC2">
        <w:tc>
          <w:tcPr>
            <w:tcW w:w="1276" w:type="dxa"/>
            <w:vAlign w:val="top"/>
          </w:tcPr>
          <w:p w14:paraId="20578C22" w14:textId="77777777" w:rsidR="007B49FF" w:rsidRPr="00BE0317" w:rsidRDefault="007B49FF" w:rsidP="007B49FF">
            <w:pPr>
              <w:pStyle w:val="TableBodyText"/>
              <w:widowControl w:val="0"/>
            </w:pPr>
            <w:r w:rsidRPr="00BE0317">
              <w:lastRenderedPageBreak/>
              <w:t>Cl 9.9</w:t>
            </w:r>
          </w:p>
        </w:tc>
        <w:tc>
          <w:tcPr>
            <w:tcW w:w="5954" w:type="dxa"/>
            <w:vAlign w:val="top"/>
          </w:tcPr>
          <w:p w14:paraId="59A7C3B3" w14:textId="77777777" w:rsidR="007B49FF" w:rsidRPr="00BE0317" w:rsidRDefault="0021608E" w:rsidP="007B49FF">
            <w:pPr>
              <w:pStyle w:val="TableBodyText"/>
              <w:widowControl w:val="0"/>
            </w:pPr>
            <w:sdt>
              <w:sdtPr>
                <w:rPr>
                  <w:rFonts w:eastAsia="MS Gothic"/>
                </w:rPr>
                <w:id w:val="-2067173839"/>
                <w14:checkbox>
                  <w14:checked w14:val="0"/>
                  <w14:checkedState w14:val="2612" w14:font="MS Gothic"/>
                  <w14:uncheckedState w14:val="2610" w14:font="MS Gothic"/>
                </w14:checkbox>
              </w:sdtPr>
              <w:sdtEndPr/>
              <w:sdtContent>
                <w:r w:rsidR="007B49FF" w:rsidRPr="00BE0317">
                  <w:rPr>
                    <w:rFonts w:ascii="Segoe UI Symbol" w:eastAsia="MS Gothic" w:hAnsi="Segoe UI Symbol" w:cs="Segoe UI Symbol"/>
                  </w:rPr>
                  <w:t>☐</w:t>
                </w:r>
              </w:sdtContent>
            </w:sdt>
            <w:r w:rsidR="007B49FF" w:rsidRPr="00BE0317">
              <w:t xml:space="preserve">  The Contractor included requirements for Sub-contractor/s to comply with the Contract EMP (M).</w:t>
            </w:r>
          </w:p>
        </w:tc>
        <w:tc>
          <w:tcPr>
            <w:tcW w:w="1701" w:type="dxa"/>
            <w:vAlign w:val="top"/>
          </w:tcPr>
          <w:p w14:paraId="140B9195" w14:textId="77777777" w:rsidR="007B49FF" w:rsidRPr="003D7BBD" w:rsidRDefault="007B49FF" w:rsidP="007B49FF">
            <w:pPr>
              <w:pStyle w:val="TableBodyText"/>
              <w:widowControl w:val="0"/>
            </w:pPr>
          </w:p>
        </w:tc>
        <w:tc>
          <w:tcPr>
            <w:tcW w:w="5061" w:type="dxa"/>
            <w:vAlign w:val="top"/>
          </w:tcPr>
          <w:p w14:paraId="1ADCB5A8" w14:textId="77777777" w:rsidR="007B49FF" w:rsidRPr="003D7BBD" w:rsidRDefault="007B49FF" w:rsidP="007B49FF">
            <w:pPr>
              <w:pStyle w:val="TableBodyText"/>
              <w:widowControl w:val="0"/>
            </w:pPr>
          </w:p>
        </w:tc>
      </w:tr>
      <w:tr w:rsidR="007B49FF" w14:paraId="17833D78" w14:textId="77777777" w:rsidTr="00590D4E">
        <w:tc>
          <w:tcPr>
            <w:tcW w:w="13992" w:type="dxa"/>
            <w:gridSpan w:val="4"/>
            <w:shd w:val="clear" w:color="auto" w:fill="F2F2F2" w:themeFill="background1" w:themeFillShade="F2"/>
            <w:vAlign w:val="top"/>
          </w:tcPr>
          <w:p w14:paraId="2CF3940B" w14:textId="77777777" w:rsidR="007B49FF" w:rsidRPr="003D7BBD" w:rsidRDefault="00D448A9" w:rsidP="007B49FF">
            <w:pPr>
              <w:pStyle w:val="TableHeading"/>
              <w:keepNext w:val="0"/>
              <w:keepLines w:val="0"/>
              <w:widowControl w:val="0"/>
              <w:jc w:val="left"/>
            </w:pPr>
            <w:r>
              <w:t>Cultural Heritage</w:t>
            </w:r>
          </w:p>
        </w:tc>
      </w:tr>
      <w:tr w:rsidR="00D448A9" w14:paraId="070CBB05" w14:textId="77777777" w:rsidTr="00D448A9">
        <w:tc>
          <w:tcPr>
            <w:tcW w:w="1276" w:type="dxa"/>
            <w:tcBorders>
              <w:top w:val="single" w:sz="4" w:space="0" w:color="auto"/>
              <w:left w:val="single" w:sz="4" w:space="0" w:color="auto"/>
              <w:bottom w:val="single" w:sz="4" w:space="0" w:color="auto"/>
              <w:right w:val="single" w:sz="4" w:space="0" w:color="auto"/>
            </w:tcBorders>
            <w:vAlign w:val="top"/>
          </w:tcPr>
          <w:p w14:paraId="20D9E569" w14:textId="77777777" w:rsidR="00D448A9" w:rsidRPr="00BE0317" w:rsidRDefault="00D448A9" w:rsidP="00D448A9">
            <w:pPr>
              <w:pStyle w:val="TableBodyText"/>
            </w:pPr>
            <w:r w:rsidRPr="00BE0317">
              <w:t xml:space="preserve">Cl 3 </w:t>
            </w:r>
          </w:p>
        </w:tc>
        <w:tc>
          <w:tcPr>
            <w:tcW w:w="5954" w:type="dxa"/>
            <w:tcBorders>
              <w:top w:val="single" w:sz="4" w:space="0" w:color="auto"/>
              <w:left w:val="single" w:sz="4" w:space="0" w:color="auto"/>
              <w:bottom w:val="single" w:sz="4" w:space="0" w:color="auto"/>
              <w:right w:val="single" w:sz="4" w:space="0" w:color="auto"/>
            </w:tcBorders>
            <w:vAlign w:val="top"/>
          </w:tcPr>
          <w:p w14:paraId="6242A530" w14:textId="77777777" w:rsidR="00D448A9" w:rsidRPr="00BE0317" w:rsidRDefault="0021608E" w:rsidP="00D448A9">
            <w:pPr>
              <w:pStyle w:val="TableBodyText"/>
            </w:pPr>
            <w:sdt>
              <w:sdtPr>
                <w:id w:val="-1428575387"/>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Contractor to acknowledge Sites and Features of potential </w:t>
            </w:r>
            <w:r w:rsidR="00D448A9">
              <w:t>c</w:t>
            </w:r>
            <w:r w:rsidR="00D448A9" w:rsidRPr="00BE0317">
              <w:t xml:space="preserve">ultural </w:t>
            </w:r>
            <w:r w:rsidR="00D448A9">
              <w:t>h</w:t>
            </w:r>
            <w:r w:rsidR="00D448A9" w:rsidRPr="00BE0317">
              <w:t xml:space="preserve">eritage </w:t>
            </w:r>
            <w:r w:rsidR="00D448A9">
              <w:t>s</w:t>
            </w:r>
            <w:r w:rsidR="00D448A9" w:rsidRPr="00BE0317">
              <w:t>ignificance as specified within Clause 3.1 A-R; and the methodology for assessment and management.</w:t>
            </w:r>
          </w:p>
          <w:p w14:paraId="31C81D8C" w14:textId="77777777" w:rsidR="00D448A9" w:rsidRPr="00BE0317" w:rsidRDefault="0021608E" w:rsidP="00D448A9">
            <w:pPr>
              <w:pStyle w:val="TableBodyText"/>
            </w:pPr>
            <w:sdt>
              <w:sdtPr>
                <w:id w:val="-1126699018"/>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Where features cannot be avoided, notify the Principal as soon as possible to arrange for an assessment to be conducted.</w:t>
            </w:r>
          </w:p>
        </w:tc>
        <w:tc>
          <w:tcPr>
            <w:tcW w:w="1701" w:type="dxa"/>
            <w:tcBorders>
              <w:left w:val="single" w:sz="4" w:space="0" w:color="auto"/>
            </w:tcBorders>
            <w:vAlign w:val="top"/>
          </w:tcPr>
          <w:p w14:paraId="6522480B" w14:textId="77777777" w:rsidR="00D448A9" w:rsidRPr="003D7BBD" w:rsidRDefault="00D448A9" w:rsidP="00D448A9">
            <w:pPr>
              <w:pStyle w:val="TableBodyText"/>
              <w:keepNext w:val="0"/>
              <w:keepLines w:val="0"/>
              <w:widowControl w:val="0"/>
            </w:pPr>
          </w:p>
        </w:tc>
        <w:tc>
          <w:tcPr>
            <w:tcW w:w="5061" w:type="dxa"/>
            <w:vAlign w:val="top"/>
          </w:tcPr>
          <w:p w14:paraId="6F32B312" w14:textId="77777777" w:rsidR="00D448A9" w:rsidRPr="003D7BBD" w:rsidRDefault="00D448A9" w:rsidP="00D448A9">
            <w:pPr>
              <w:pStyle w:val="TableBodyText"/>
              <w:keepNext w:val="0"/>
              <w:keepLines w:val="0"/>
              <w:widowControl w:val="0"/>
            </w:pPr>
          </w:p>
        </w:tc>
      </w:tr>
      <w:tr w:rsidR="007B49FF" w14:paraId="6162B131" w14:textId="77777777" w:rsidTr="00F81714">
        <w:tc>
          <w:tcPr>
            <w:tcW w:w="13992" w:type="dxa"/>
            <w:gridSpan w:val="4"/>
            <w:shd w:val="clear" w:color="auto" w:fill="F2F2F2" w:themeFill="background1" w:themeFillShade="F2"/>
            <w:vAlign w:val="top"/>
          </w:tcPr>
          <w:p w14:paraId="0E6F5D80" w14:textId="77777777" w:rsidR="007B49FF" w:rsidRPr="003D7BBD" w:rsidRDefault="00D448A9" w:rsidP="007B49FF">
            <w:pPr>
              <w:pStyle w:val="TableHeading"/>
              <w:keepNext w:val="0"/>
              <w:keepLines w:val="0"/>
              <w:widowControl w:val="0"/>
              <w:jc w:val="left"/>
            </w:pPr>
            <w:r>
              <w:t>Water Quality</w:t>
            </w:r>
          </w:p>
        </w:tc>
      </w:tr>
      <w:tr w:rsidR="00D448A9" w14:paraId="0A63BCE0" w14:textId="77777777" w:rsidTr="00D448A9">
        <w:tc>
          <w:tcPr>
            <w:tcW w:w="1276" w:type="dxa"/>
            <w:tcBorders>
              <w:top w:val="single" w:sz="4" w:space="0" w:color="auto"/>
              <w:left w:val="single" w:sz="4" w:space="0" w:color="auto"/>
              <w:bottom w:val="single" w:sz="4" w:space="0" w:color="auto"/>
              <w:right w:val="single" w:sz="4" w:space="0" w:color="auto"/>
            </w:tcBorders>
            <w:vAlign w:val="top"/>
          </w:tcPr>
          <w:p w14:paraId="22349FC3" w14:textId="77777777" w:rsidR="00D448A9" w:rsidRPr="00BE0317" w:rsidRDefault="00D448A9" w:rsidP="00D448A9">
            <w:pPr>
              <w:pStyle w:val="TableBodyText"/>
            </w:pPr>
            <w:r w:rsidRPr="00BE0317">
              <w:t>Cl 10.2</w:t>
            </w:r>
          </w:p>
        </w:tc>
        <w:tc>
          <w:tcPr>
            <w:tcW w:w="5954" w:type="dxa"/>
            <w:tcBorders>
              <w:top w:val="single" w:sz="4" w:space="0" w:color="auto"/>
              <w:left w:val="single" w:sz="4" w:space="0" w:color="auto"/>
              <w:bottom w:val="single" w:sz="4" w:space="0" w:color="auto"/>
              <w:right w:val="single" w:sz="4" w:space="0" w:color="auto"/>
            </w:tcBorders>
            <w:vAlign w:val="top"/>
          </w:tcPr>
          <w:p w14:paraId="57E1B216" w14:textId="77777777" w:rsidR="00D448A9" w:rsidRPr="00BE0317" w:rsidRDefault="00D448A9" w:rsidP="00D448A9">
            <w:pPr>
              <w:pStyle w:val="TableBodyText"/>
              <w:rPr>
                <w:rFonts w:eastAsia="MS Gothic"/>
              </w:rPr>
            </w:pPr>
            <w:r w:rsidRPr="00BE0317">
              <w:rPr>
                <w:rFonts w:eastAsia="MS Gothic"/>
              </w:rPr>
              <w:t xml:space="preserve">The EMP (M) contains </w:t>
            </w:r>
            <w:r w:rsidRPr="00BE0317">
              <w:t>descriptions and/or diagrams of:</w:t>
            </w:r>
          </w:p>
          <w:p w14:paraId="0879E351" w14:textId="77777777" w:rsidR="00D448A9" w:rsidRPr="00BE0317" w:rsidRDefault="0021608E" w:rsidP="00D448A9">
            <w:pPr>
              <w:pStyle w:val="TableBodyText"/>
            </w:pPr>
            <w:sdt>
              <w:sdtPr>
                <w:id w:val="-2036720828"/>
                <w14:checkbox>
                  <w14:checked w14:val="0"/>
                  <w14:checkedState w14:val="2612" w14:font="MS Gothic"/>
                  <w14:uncheckedState w14:val="2610" w14:font="MS Gothic"/>
                </w14:checkbox>
              </w:sdtPr>
              <w:sdtEndPr/>
              <w:sdtContent>
                <w:r w:rsidR="00D448A9" w:rsidRPr="00BE0317">
                  <w:rPr>
                    <w:rFonts w:ascii="Segoe UI Symbol" w:hAnsi="Segoe UI Symbol" w:cs="Segoe UI Symbol"/>
                  </w:rPr>
                  <w:t>☐</w:t>
                </w:r>
              </w:sdtContent>
            </w:sdt>
            <w:r w:rsidR="00D448A9" w:rsidRPr="00BE0317">
              <w:t xml:space="preserve">  water quality management measures to manage high risk locations and contaminants,</w:t>
            </w:r>
          </w:p>
          <w:p w14:paraId="47124E6D" w14:textId="77777777" w:rsidR="00D448A9" w:rsidRPr="00BE0317" w:rsidRDefault="0021608E" w:rsidP="00D448A9">
            <w:pPr>
              <w:pStyle w:val="TableBodyText"/>
            </w:pPr>
            <w:sdt>
              <w:sdtPr>
                <w:id w:val="-22326277"/>
                <w14:checkbox>
                  <w14:checked w14:val="0"/>
                  <w14:checkedState w14:val="2612" w14:font="MS Gothic"/>
                  <w14:uncheckedState w14:val="2610" w14:font="MS Gothic"/>
                </w14:checkbox>
              </w:sdtPr>
              <w:sdtEndPr/>
              <w:sdtContent>
                <w:r w:rsidR="00D448A9" w:rsidRPr="00BE0317">
                  <w:rPr>
                    <w:rFonts w:ascii="Segoe UI Symbol" w:hAnsi="Segoe UI Symbol" w:cs="Segoe UI Symbol"/>
                  </w:rPr>
                  <w:t>☐</w:t>
                </w:r>
              </w:sdtContent>
            </w:sdt>
            <w:r w:rsidR="00D448A9" w:rsidRPr="00BE0317">
              <w:t xml:space="preserve">  erosion management measures to manage water quality at high risk locations and land degradation from erosion,</w:t>
            </w:r>
          </w:p>
          <w:p w14:paraId="245787B0" w14:textId="77777777" w:rsidR="00D448A9" w:rsidRPr="00BE0317" w:rsidRDefault="0021608E" w:rsidP="00D448A9">
            <w:pPr>
              <w:pStyle w:val="TableBodyText"/>
            </w:pPr>
            <w:sdt>
              <w:sdtPr>
                <w:id w:val="817314759"/>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contingency plans for adverse water quality impacts.</w:t>
            </w:r>
          </w:p>
        </w:tc>
        <w:tc>
          <w:tcPr>
            <w:tcW w:w="1701" w:type="dxa"/>
            <w:tcBorders>
              <w:left w:val="single" w:sz="4" w:space="0" w:color="auto"/>
            </w:tcBorders>
            <w:vAlign w:val="top"/>
          </w:tcPr>
          <w:p w14:paraId="4CFD277B" w14:textId="77777777" w:rsidR="00D448A9" w:rsidRPr="003D7BBD" w:rsidRDefault="00D448A9" w:rsidP="00D448A9">
            <w:pPr>
              <w:pStyle w:val="TableBodyText"/>
              <w:keepNext w:val="0"/>
              <w:keepLines w:val="0"/>
              <w:widowControl w:val="0"/>
            </w:pPr>
          </w:p>
        </w:tc>
        <w:tc>
          <w:tcPr>
            <w:tcW w:w="5061" w:type="dxa"/>
            <w:vAlign w:val="top"/>
          </w:tcPr>
          <w:p w14:paraId="26E06A88" w14:textId="77777777" w:rsidR="00D448A9" w:rsidRPr="003D7BBD" w:rsidRDefault="00D448A9" w:rsidP="00D448A9">
            <w:pPr>
              <w:pStyle w:val="TableBodyText"/>
              <w:keepNext w:val="0"/>
              <w:keepLines w:val="0"/>
              <w:widowControl w:val="0"/>
            </w:pPr>
          </w:p>
        </w:tc>
      </w:tr>
      <w:tr w:rsidR="007B49FF" w14:paraId="667C94E2" w14:textId="77777777" w:rsidTr="00C46646">
        <w:tc>
          <w:tcPr>
            <w:tcW w:w="13992" w:type="dxa"/>
            <w:gridSpan w:val="4"/>
            <w:shd w:val="clear" w:color="auto" w:fill="F2F2F2" w:themeFill="background1" w:themeFillShade="F2"/>
            <w:vAlign w:val="top"/>
          </w:tcPr>
          <w:p w14:paraId="2F518C35" w14:textId="77777777" w:rsidR="007B49FF" w:rsidRPr="003D7BBD" w:rsidRDefault="00D448A9" w:rsidP="007B49FF">
            <w:pPr>
              <w:pStyle w:val="TableHeading"/>
              <w:keepNext w:val="0"/>
              <w:keepLines w:val="0"/>
              <w:widowControl w:val="0"/>
              <w:jc w:val="left"/>
            </w:pPr>
            <w:r>
              <w:t>Erosion and Sediment Control</w:t>
            </w:r>
          </w:p>
        </w:tc>
      </w:tr>
      <w:tr w:rsidR="00D448A9" w14:paraId="3AB6C3F5" w14:textId="77777777" w:rsidTr="00D448A9">
        <w:tc>
          <w:tcPr>
            <w:tcW w:w="1276" w:type="dxa"/>
            <w:tcBorders>
              <w:top w:val="single" w:sz="4" w:space="0" w:color="auto"/>
              <w:left w:val="single" w:sz="4" w:space="0" w:color="auto"/>
              <w:bottom w:val="single" w:sz="4" w:space="0" w:color="auto"/>
              <w:right w:val="single" w:sz="4" w:space="0" w:color="auto"/>
            </w:tcBorders>
            <w:vAlign w:val="top"/>
          </w:tcPr>
          <w:p w14:paraId="546894D1" w14:textId="77777777" w:rsidR="00D448A9" w:rsidRPr="00BE0317" w:rsidRDefault="00D448A9" w:rsidP="00D448A9">
            <w:pPr>
              <w:pStyle w:val="TableBodyText"/>
              <w:keepNext w:val="0"/>
              <w:keepLines w:val="0"/>
              <w:widowControl w:val="0"/>
            </w:pPr>
            <w:r w:rsidRPr="00BE0317">
              <w:t>Cl 10.3 &amp; MRTS52 Cl1.4</w:t>
            </w:r>
          </w:p>
        </w:tc>
        <w:tc>
          <w:tcPr>
            <w:tcW w:w="5954" w:type="dxa"/>
            <w:tcBorders>
              <w:top w:val="single" w:sz="4" w:space="0" w:color="auto"/>
              <w:left w:val="single" w:sz="4" w:space="0" w:color="auto"/>
              <w:bottom w:val="single" w:sz="4" w:space="0" w:color="auto"/>
              <w:right w:val="single" w:sz="4" w:space="0" w:color="auto"/>
            </w:tcBorders>
            <w:vAlign w:val="top"/>
          </w:tcPr>
          <w:p w14:paraId="4B21F349" w14:textId="77777777" w:rsidR="00D448A9" w:rsidRPr="00BE0317" w:rsidRDefault="0021608E" w:rsidP="00D448A9">
            <w:pPr>
              <w:pStyle w:val="TableBodyText"/>
              <w:keepNext w:val="0"/>
              <w:keepLines w:val="0"/>
              <w:widowControl w:val="0"/>
            </w:pPr>
            <w:sdt>
              <w:sdtPr>
                <w:id w:val="1363704853"/>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Completed CAC0057M to ensure ESCP complies with MRTS52.</w:t>
            </w:r>
          </w:p>
        </w:tc>
        <w:tc>
          <w:tcPr>
            <w:tcW w:w="1701" w:type="dxa"/>
            <w:tcBorders>
              <w:left w:val="single" w:sz="4" w:space="0" w:color="auto"/>
            </w:tcBorders>
            <w:vAlign w:val="top"/>
          </w:tcPr>
          <w:p w14:paraId="707F1DCB" w14:textId="77777777" w:rsidR="00D448A9" w:rsidRPr="003D7BBD" w:rsidRDefault="00D448A9" w:rsidP="00D448A9">
            <w:pPr>
              <w:pStyle w:val="TableBodyText"/>
              <w:keepNext w:val="0"/>
              <w:keepLines w:val="0"/>
              <w:widowControl w:val="0"/>
            </w:pPr>
          </w:p>
        </w:tc>
        <w:tc>
          <w:tcPr>
            <w:tcW w:w="5061" w:type="dxa"/>
            <w:vAlign w:val="top"/>
          </w:tcPr>
          <w:p w14:paraId="57A6F2A0" w14:textId="77777777" w:rsidR="00D448A9" w:rsidRPr="003D7BBD" w:rsidRDefault="00D448A9" w:rsidP="00D448A9">
            <w:pPr>
              <w:pStyle w:val="TableBodyText"/>
              <w:keepNext w:val="0"/>
              <w:keepLines w:val="0"/>
              <w:widowControl w:val="0"/>
            </w:pPr>
          </w:p>
        </w:tc>
      </w:tr>
      <w:tr w:rsidR="00D448A9" w14:paraId="1F73C4CC" w14:textId="77777777" w:rsidTr="00D448A9">
        <w:tc>
          <w:tcPr>
            <w:tcW w:w="1276" w:type="dxa"/>
            <w:tcBorders>
              <w:top w:val="single" w:sz="4" w:space="0" w:color="auto"/>
              <w:left w:val="single" w:sz="4" w:space="0" w:color="auto"/>
              <w:bottom w:val="single" w:sz="4" w:space="0" w:color="auto"/>
              <w:right w:val="single" w:sz="4" w:space="0" w:color="auto"/>
            </w:tcBorders>
            <w:vAlign w:val="top"/>
          </w:tcPr>
          <w:p w14:paraId="1088740F" w14:textId="77777777" w:rsidR="00D448A9" w:rsidRPr="00BE0317" w:rsidRDefault="00D448A9" w:rsidP="00D448A9">
            <w:pPr>
              <w:pStyle w:val="TableBodyText"/>
              <w:keepNext w:val="0"/>
              <w:keepLines w:val="0"/>
              <w:widowControl w:val="0"/>
            </w:pPr>
            <w:r w:rsidRPr="00BE0317">
              <w:t>MRTS52 Cl 6.4</w:t>
            </w:r>
          </w:p>
        </w:tc>
        <w:tc>
          <w:tcPr>
            <w:tcW w:w="5954" w:type="dxa"/>
            <w:tcBorders>
              <w:top w:val="single" w:sz="4" w:space="0" w:color="auto"/>
              <w:left w:val="single" w:sz="4" w:space="0" w:color="auto"/>
              <w:bottom w:val="single" w:sz="4" w:space="0" w:color="auto"/>
              <w:right w:val="single" w:sz="4" w:space="0" w:color="auto"/>
            </w:tcBorders>
            <w:vAlign w:val="top"/>
          </w:tcPr>
          <w:p w14:paraId="5DD9260F" w14:textId="77777777" w:rsidR="00D448A9" w:rsidRPr="00BE0317" w:rsidRDefault="00D448A9" w:rsidP="00D448A9">
            <w:pPr>
              <w:pStyle w:val="TableBodyText"/>
              <w:keepNext w:val="0"/>
              <w:keepLines w:val="0"/>
              <w:widowControl w:val="0"/>
            </w:pPr>
            <w:r w:rsidRPr="00BE0317">
              <w:t>The EMP (M) contains provisions for:</w:t>
            </w:r>
          </w:p>
          <w:p w14:paraId="6E95F9A5" w14:textId="77777777" w:rsidR="00D448A9" w:rsidRPr="00BE0317" w:rsidRDefault="0021608E" w:rsidP="00D448A9">
            <w:pPr>
              <w:pStyle w:val="TableBodyText"/>
              <w:keepNext w:val="0"/>
              <w:keepLines w:val="0"/>
              <w:widowControl w:val="0"/>
            </w:pPr>
            <w:sdt>
              <w:sdtPr>
                <w:id w:val="578028751"/>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implementation of the ESCP,</w:t>
            </w:r>
          </w:p>
          <w:p w14:paraId="0A9713E0" w14:textId="77777777" w:rsidR="00D448A9" w:rsidRPr="00BE0317" w:rsidRDefault="0021608E" w:rsidP="00D448A9">
            <w:pPr>
              <w:pStyle w:val="TableBodyText"/>
              <w:keepNext w:val="0"/>
              <w:keepLines w:val="0"/>
              <w:widowControl w:val="0"/>
            </w:pPr>
            <w:sdt>
              <w:sdtPr>
                <w:id w:val="655270729"/>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monitoring of the ESC during the Contract,</w:t>
            </w:r>
          </w:p>
          <w:p w14:paraId="60E21F43" w14:textId="77777777" w:rsidR="00D448A9" w:rsidRPr="00BE0317" w:rsidRDefault="0021608E" w:rsidP="00D448A9">
            <w:pPr>
              <w:pStyle w:val="TableBodyText"/>
              <w:keepNext w:val="0"/>
              <w:keepLines w:val="0"/>
              <w:widowControl w:val="0"/>
            </w:pPr>
            <w:sdt>
              <w:sdtPr>
                <w:id w:val="196055529"/>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updating of the ESCP where necessary.</w:t>
            </w:r>
          </w:p>
        </w:tc>
        <w:tc>
          <w:tcPr>
            <w:tcW w:w="1701" w:type="dxa"/>
            <w:tcBorders>
              <w:left w:val="single" w:sz="4" w:space="0" w:color="auto"/>
            </w:tcBorders>
            <w:vAlign w:val="top"/>
          </w:tcPr>
          <w:p w14:paraId="5DD63198" w14:textId="77777777" w:rsidR="00D448A9" w:rsidRPr="003D7BBD" w:rsidRDefault="00D448A9" w:rsidP="00D448A9">
            <w:pPr>
              <w:pStyle w:val="TableBodyText"/>
              <w:keepNext w:val="0"/>
              <w:keepLines w:val="0"/>
              <w:widowControl w:val="0"/>
            </w:pPr>
          </w:p>
        </w:tc>
        <w:tc>
          <w:tcPr>
            <w:tcW w:w="5061" w:type="dxa"/>
            <w:vAlign w:val="top"/>
          </w:tcPr>
          <w:p w14:paraId="7D396F67" w14:textId="77777777" w:rsidR="00D448A9" w:rsidRPr="003D7BBD" w:rsidRDefault="00D448A9" w:rsidP="00D448A9">
            <w:pPr>
              <w:pStyle w:val="TableBodyText"/>
              <w:keepNext w:val="0"/>
              <w:keepLines w:val="0"/>
              <w:widowControl w:val="0"/>
            </w:pPr>
          </w:p>
        </w:tc>
      </w:tr>
      <w:tr w:rsidR="007B49FF" w14:paraId="4C02BD8B" w14:textId="77777777" w:rsidTr="006A7E30">
        <w:tc>
          <w:tcPr>
            <w:tcW w:w="13992" w:type="dxa"/>
            <w:gridSpan w:val="4"/>
            <w:shd w:val="clear" w:color="auto" w:fill="F2F2F2" w:themeFill="background1" w:themeFillShade="F2"/>
            <w:vAlign w:val="top"/>
          </w:tcPr>
          <w:p w14:paraId="37517BAF" w14:textId="77777777" w:rsidR="007B49FF" w:rsidRPr="003D7BBD" w:rsidRDefault="00D448A9" w:rsidP="00D448A9">
            <w:pPr>
              <w:pStyle w:val="TableHeading"/>
              <w:widowControl w:val="0"/>
              <w:jc w:val="left"/>
            </w:pPr>
            <w:r>
              <w:lastRenderedPageBreak/>
              <w:t>Noise</w:t>
            </w:r>
          </w:p>
        </w:tc>
      </w:tr>
      <w:tr w:rsidR="00D448A9" w14:paraId="0E57C79C" w14:textId="77777777" w:rsidTr="00D448A9">
        <w:tc>
          <w:tcPr>
            <w:tcW w:w="1276" w:type="dxa"/>
            <w:tcBorders>
              <w:top w:val="single" w:sz="4" w:space="0" w:color="auto"/>
              <w:left w:val="single" w:sz="4" w:space="0" w:color="auto"/>
              <w:bottom w:val="single" w:sz="4" w:space="0" w:color="auto"/>
              <w:right w:val="single" w:sz="4" w:space="0" w:color="auto"/>
            </w:tcBorders>
            <w:vAlign w:val="top"/>
          </w:tcPr>
          <w:p w14:paraId="202E5697" w14:textId="77777777" w:rsidR="00D448A9" w:rsidRPr="00BE0317" w:rsidRDefault="00D448A9" w:rsidP="00D448A9">
            <w:pPr>
              <w:pStyle w:val="TableBodyText"/>
            </w:pPr>
            <w:r w:rsidRPr="00BE0317">
              <w:t>Cl 10.4</w:t>
            </w:r>
          </w:p>
        </w:tc>
        <w:tc>
          <w:tcPr>
            <w:tcW w:w="5954" w:type="dxa"/>
            <w:tcBorders>
              <w:top w:val="single" w:sz="4" w:space="0" w:color="auto"/>
              <w:left w:val="single" w:sz="4" w:space="0" w:color="auto"/>
              <w:bottom w:val="single" w:sz="4" w:space="0" w:color="auto"/>
              <w:right w:val="single" w:sz="4" w:space="0" w:color="auto"/>
            </w:tcBorders>
            <w:vAlign w:val="top"/>
          </w:tcPr>
          <w:p w14:paraId="2CBC9135" w14:textId="77777777" w:rsidR="00D448A9" w:rsidRPr="00BE0317" w:rsidRDefault="00D448A9" w:rsidP="00D448A9">
            <w:pPr>
              <w:pStyle w:val="TableBodyText"/>
            </w:pPr>
            <w:r w:rsidRPr="00BE0317">
              <w:t>The EMP (M) contains documents for the following:</w:t>
            </w:r>
          </w:p>
          <w:p w14:paraId="591B7A7D" w14:textId="77777777" w:rsidR="00D448A9" w:rsidRPr="00BE0317" w:rsidRDefault="0021608E" w:rsidP="00D448A9">
            <w:pPr>
              <w:pStyle w:val="TableBodyText"/>
            </w:pPr>
            <w:sdt>
              <w:sdtPr>
                <w:id w:val="-829210995"/>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outline of night time works and how these will be managed,</w:t>
            </w:r>
          </w:p>
          <w:p w14:paraId="0E36FE41" w14:textId="77777777" w:rsidR="00D448A9" w:rsidRPr="00BE0317" w:rsidRDefault="0021608E" w:rsidP="00D448A9">
            <w:pPr>
              <w:pStyle w:val="TableBodyText"/>
            </w:pPr>
            <w:sdt>
              <w:sdtPr>
                <w:id w:val="-1878453545"/>
                <w14:checkbox>
                  <w14:checked w14:val="0"/>
                  <w14:checkedState w14:val="2612" w14:font="MS Gothic"/>
                  <w14:uncheckedState w14:val="2610" w14:font="MS Gothic"/>
                </w14:checkbox>
              </w:sdtPr>
              <w:sdtEndPr/>
              <w:sdtContent>
                <w:r w:rsidR="00D448A9" w:rsidRPr="00BE0317">
                  <w:rPr>
                    <w:rFonts w:ascii="Segoe UI Symbol" w:hAnsi="Segoe UI Symbol" w:cs="Segoe UI Symbol"/>
                  </w:rPr>
                  <w:t>☐</w:t>
                </w:r>
              </w:sdtContent>
            </w:sdt>
            <w:r w:rsidR="00D448A9" w:rsidRPr="00BE0317">
              <w:t xml:space="preserve">  location of any sensitive receptors and critical facilities, infrastructure and utilities in proximity to night time maintenance works,</w:t>
            </w:r>
          </w:p>
          <w:p w14:paraId="6EC4CC37" w14:textId="77777777" w:rsidR="00D448A9" w:rsidRPr="00BE0317" w:rsidRDefault="0021608E" w:rsidP="00D448A9">
            <w:pPr>
              <w:pStyle w:val="TableBodyText"/>
            </w:pPr>
            <w:sdt>
              <w:sdtPr>
                <w:id w:val="279080166"/>
                <w14:checkbox>
                  <w14:checked w14:val="0"/>
                  <w14:checkedState w14:val="2612" w14:font="MS Gothic"/>
                  <w14:uncheckedState w14:val="2610" w14:font="MS Gothic"/>
                </w14:checkbox>
              </w:sdtPr>
              <w:sdtEndPr/>
              <w:sdtContent>
                <w:r w:rsidR="00D448A9" w:rsidRPr="00BE0317">
                  <w:rPr>
                    <w:rFonts w:ascii="Segoe UI Symbol" w:hAnsi="Segoe UI Symbol" w:cs="Segoe UI Symbol"/>
                  </w:rPr>
                  <w:t>☐</w:t>
                </w:r>
              </w:sdtContent>
            </w:sdt>
            <w:r w:rsidR="00D448A9" w:rsidRPr="00BE0317">
              <w:t xml:space="preserve">  noise (including air blasting overpressure) generating activities, their locations, work periods (standard hours, non-standard hours (day/evening), nonstandard hours (night time)), </w:t>
            </w:r>
          </w:p>
          <w:p w14:paraId="0EDB5A90" w14:textId="77777777" w:rsidR="00D448A9" w:rsidRPr="00BE0317" w:rsidRDefault="0021608E" w:rsidP="00D448A9">
            <w:pPr>
              <w:pStyle w:val="TableBodyText"/>
            </w:pPr>
            <w:sdt>
              <w:sdtPr>
                <w:id w:val="-2077879574"/>
                <w14:checkbox>
                  <w14:checked w14:val="0"/>
                  <w14:checkedState w14:val="2612" w14:font="MS Gothic"/>
                  <w14:uncheckedState w14:val="2610" w14:font="MS Gothic"/>
                </w14:checkbox>
              </w:sdtPr>
              <w:sdtEndPr/>
              <w:sdtContent>
                <w:r w:rsidR="00D448A9" w:rsidRPr="00BE0317">
                  <w:rPr>
                    <w:rFonts w:ascii="Segoe UI Symbol" w:hAnsi="Segoe UI Symbol" w:cs="Segoe UI Symbol"/>
                  </w:rPr>
                  <w:t>☐</w:t>
                </w:r>
              </w:sdtContent>
            </w:sdt>
            <w:r w:rsidR="00D448A9" w:rsidRPr="00BE0317">
              <w:t xml:space="preserve">  applicable construction noise criteria for assessment (including monitoring),</w:t>
            </w:r>
          </w:p>
          <w:p w14:paraId="102DEE1A" w14:textId="77777777" w:rsidR="00D448A9" w:rsidRPr="00BE0317" w:rsidRDefault="0021608E" w:rsidP="00D448A9">
            <w:pPr>
              <w:pStyle w:val="TableBodyText"/>
            </w:pPr>
            <w:sdt>
              <w:sdtPr>
                <w:id w:val="-642502771"/>
                <w14:checkbox>
                  <w14:checked w14:val="0"/>
                  <w14:checkedState w14:val="2612" w14:font="MS Gothic"/>
                  <w14:uncheckedState w14:val="2610" w14:font="MS Gothic"/>
                </w14:checkbox>
              </w:sdtPr>
              <w:sdtEndPr/>
              <w:sdtContent>
                <w:r w:rsidR="00D448A9" w:rsidRPr="00BE0317">
                  <w:rPr>
                    <w:rFonts w:ascii="Segoe UI Symbol" w:hAnsi="Segoe UI Symbol" w:cs="Segoe UI Symbol"/>
                  </w:rPr>
                  <w:t>☐</w:t>
                </w:r>
              </w:sdtContent>
            </w:sdt>
            <w:r w:rsidR="00D448A9" w:rsidRPr="00BE0317">
              <w:t xml:space="preserve">  evaluation outcome of whether </w:t>
            </w:r>
            <w:r w:rsidR="00D448A9">
              <w:t>s</w:t>
            </w:r>
            <w:r w:rsidR="00D448A9" w:rsidRPr="00BE0317">
              <w:t xml:space="preserve">ensitive </w:t>
            </w:r>
            <w:r w:rsidR="00D448A9">
              <w:t>r</w:t>
            </w:r>
            <w:r w:rsidR="00D448A9" w:rsidRPr="00BE0317">
              <w:t>eceptors will likely be impacted by maintenance activities,</w:t>
            </w:r>
          </w:p>
          <w:p w14:paraId="4D14203B" w14:textId="77777777" w:rsidR="00D448A9" w:rsidRPr="00BE0317" w:rsidRDefault="0021608E" w:rsidP="00D448A9">
            <w:pPr>
              <w:pStyle w:val="TableBodyText"/>
            </w:pPr>
            <w:sdt>
              <w:sdtPr>
                <w:id w:val="1191193528"/>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noise management measures to avoid or minimise noise impacts, and</w:t>
            </w:r>
          </w:p>
          <w:p w14:paraId="18254789" w14:textId="77777777" w:rsidR="00D448A9" w:rsidRPr="00BE0317" w:rsidRDefault="0021608E" w:rsidP="00D448A9">
            <w:pPr>
              <w:pStyle w:val="TableBodyText"/>
            </w:pPr>
            <w:sdt>
              <w:sdtPr>
                <w:id w:val="532390264"/>
                <w14:checkbox>
                  <w14:checked w14:val="0"/>
                  <w14:checkedState w14:val="2612" w14:font="MS Gothic"/>
                  <w14:uncheckedState w14:val="2610" w14:font="MS Gothic"/>
                </w14:checkbox>
              </w:sdtPr>
              <w:sdtEndPr/>
              <w:sdtContent>
                <w:r w:rsidR="00D448A9" w:rsidRPr="00BE0317">
                  <w:rPr>
                    <w:rFonts w:ascii="Segoe UI Symbol" w:eastAsia="MS Gothic" w:hAnsi="Segoe UI Symbol" w:cs="Segoe UI Symbol"/>
                  </w:rPr>
                  <w:t>☐</w:t>
                </w:r>
              </w:sdtContent>
            </w:sdt>
            <w:r w:rsidR="00D448A9" w:rsidRPr="00BE0317">
              <w:t xml:space="preserve">  contingency plan for adverse noise impacts.</w:t>
            </w:r>
          </w:p>
        </w:tc>
        <w:tc>
          <w:tcPr>
            <w:tcW w:w="1701" w:type="dxa"/>
            <w:tcBorders>
              <w:left w:val="single" w:sz="4" w:space="0" w:color="auto"/>
            </w:tcBorders>
            <w:vAlign w:val="top"/>
          </w:tcPr>
          <w:p w14:paraId="69360CE9" w14:textId="77777777" w:rsidR="00D448A9" w:rsidRPr="003D7BBD" w:rsidRDefault="00D448A9" w:rsidP="00D448A9">
            <w:pPr>
              <w:pStyle w:val="TableBodyText"/>
              <w:keepNext w:val="0"/>
              <w:keepLines w:val="0"/>
              <w:widowControl w:val="0"/>
            </w:pPr>
          </w:p>
        </w:tc>
        <w:tc>
          <w:tcPr>
            <w:tcW w:w="5061" w:type="dxa"/>
            <w:vAlign w:val="top"/>
          </w:tcPr>
          <w:p w14:paraId="599A450C" w14:textId="77777777" w:rsidR="00D448A9" w:rsidRPr="003D7BBD" w:rsidRDefault="00D448A9" w:rsidP="00D448A9">
            <w:pPr>
              <w:pStyle w:val="TableBodyText"/>
              <w:keepNext w:val="0"/>
              <w:keepLines w:val="0"/>
              <w:widowControl w:val="0"/>
            </w:pPr>
          </w:p>
        </w:tc>
      </w:tr>
      <w:tr w:rsidR="00173953" w14:paraId="5F3DA0F8" w14:textId="77777777" w:rsidTr="00173953">
        <w:tc>
          <w:tcPr>
            <w:tcW w:w="13992" w:type="dxa"/>
            <w:gridSpan w:val="4"/>
            <w:tcBorders>
              <w:top w:val="single" w:sz="4" w:space="0" w:color="auto"/>
              <w:left w:val="single" w:sz="4" w:space="0" w:color="auto"/>
              <w:bottom w:val="single" w:sz="4" w:space="0" w:color="auto"/>
            </w:tcBorders>
            <w:shd w:val="clear" w:color="auto" w:fill="F2F2F2" w:themeFill="background1" w:themeFillShade="F2"/>
            <w:vAlign w:val="top"/>
          </w:tcPr>
          <w:p w14:paraId="589174E0" w14:textId="77777777" w:rsidR="00173953" w:rsidRPr="003D7BBD" w:rsidRDefault="00173953" w:rsidP="00173953">
            <w:pPr>
              <w:pStyle w:val="TableHeading"/>
              <w:jc w:val="left"/>
            </w:pPr>
            <w:r>
              <w:t>Vibration</w:t>
            </w:r>
          </w:p>
        </w:tc>
      </w:tr>
      <w:tr w:rsidR="00173953" w14:paraId="3BD1F666" w14:textId="77777777" w:rsidTr="00D448A9">
        <w:tc>
          <w:tcPr>
            <w:tcW w:w="1276" w:type="dxa"/>
            <w:tcBorders>
              <w:top w:val="single" w:sz="4" w:space="0" w:color="auto"/>
              <w:left w:val="single" w:sz="4" w:space="0" w:color="auto"/>
              <w:bottom w:val="single" w:sz="4" w:space="0" w:color="auto"/>
              <w:right w:val="single" w:sz="4" w:space="0" w:color="auto"/>
            </w:tcBorders>
            <w:vAlign w:val="top"/>
          </w:tcPr>
          <w:p w14:paraId="5A554400" w14:textId="77777777" w:rsidR="00173953" w:rsidRPr="00BE0317" w:rsidRDefault="00173953" w:rsidP="00173953">
            <w:pPr>
              <w:pStyle w:val="TableBodyText"/>
              <w:keepNext w:val="0"/>
              <w:keepLines w:val="0"/>
              <w:widowControl w:val="0"/>
            </w:pPr>
            <w:r w:rsidRPr="00BE0317">
              <w:t>Cl 10.5</w:t>
            </w:r>
          </w:p>
        </w:tc>
        <w:tc>
          <w:tcPr>
            <w:tcW w:w="5954" w:type="dxa"/>
            <w:tcBorders>
              <w:top w:val="single" w:sz="4" w:space="0" w:color="auto"/>
              <w:left w:val="single" w:sz="4" w:space="0" w:color="auto"/>
              <w:bottom w:val="single" w:sz="4" w:space="0" w:color="auto"/>
              <w:right w:val="single" w:sz="4" w:space="0" w:color="auto"/>
            </w:tcBorders>
            <w:vAlign w:val="top"/>
          </w:tcPr>
          <w:p w14:paraId="141EA226" w14:textId="77777777" w:rsidR="00173953" w:rsidRPr="00BE0317" w:rsidRDefault="00173953" w:rsidP="00173953">
            <w:pPr>
              <w:pStyle w:val="TableBodyText"/>
              <w:keepNext w:val="0"/>
              <w:keepLines w:val="0"/>
              <w:widowControl w:val="0"/>
            </w:pPr>
            <w:r w:rsidRPr="00BE0317">
              <w:t>The EMP (M) contains documents and/or diagrams indicating the following:</w:t>
            </w:r>
          </w:p>
          <w:p w14:paraId="763F3FBA" w14:textId="77777777" w:rsidR="00173953" w:rsidRPr="00BE0317" w:rsidRDefault="0021608E" w:rsidP="00173953">
            <w:pPr>
              <w:pStyle w:val="TableBodyText"/>
              <w:keepNext w:val="0"/>
              <w:keepLines w:val="0"/>
              <w:widowControl w:val="0"/>
            </w:pPr>
            <w:sdt>
              <w:sdtPr>
                <w:id w:val="-1822884362"/>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type of vibration sensitive receptors and critical facilities, infrastructure and utilities potentially impacted by Site and their location in relation to Site,</w:t>
            </w:r>
          </w:p>
          <w:p w14:paraId="737CBE0D" w14:textId="77777777" w:rsidR="00173953" w:rsidRPr="00BE0317" w:rsidRDefault="0021608E" w:rsidP="00173953">
            <w:pPr>
              <w:pStyle w:val="TableBodyText"/>
              <w:keepNext w:val="0"/>
              <w:keepLines w:val="0"/>
              <w:widowControl w:val="0"/>
            </w:pPr>
            <w:sdt>
              <w:sdtPr>
                <w:id w:val="476181846"/>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location of significant vibration and air blasting overpressure generating works within the Site</w:t>
            </w:r>
          </w:p>
          <w:p w14:paraId="1393DFC1" w14:textId="77777777" w:rsidR="00173953" w:rsidRPr="00BE0317" w:rsidRDefault="0021608E" w:rsidP="00173953">
            <w:pPr>
              <w:pStyle w:val="TableBodyText"/>
              <w:keepNext w:val="0"/>
              <w:keepLines w:val="0"/>
              <w:widowControl w:val="0"/>
            </w:pPr>
            <w:sdt>
              <w:sdtPr>
                <w:id w:val="728731670"/>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applicable construction vibration criteria,</w:t>
            </w:r>
          </w:p>
          <w:p w14:paraId="2AFB994D" w14:textId="77777777" w:rsidR="00173953" w:rsidRPr="00BE0317" w:rsidRDefault="0021608E" w:rsidP="00173953">
            <w:pPr>
              <w:pStyle w:val="TableBodyText"/>
              <w:keepNext w:val="0"/>
              <w:keepLines w:val="0"/>
              <w:widowControl w:val="0"/>
            </w:pPr>
            <w:sdt>
              <w:sdtPr>
                <w:id w:val="-1035037290"/>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evaluation outcome of which </w:t>
            </w:r>
            <w:r w:rsidR="00173953">
              <w:t>s</w:t>
            </w:r>
            <w:r w:rsidR="00173953" w:rsidRPr="00BE0317">
              <w:t xml:space="preserve">ensitive </w:t>
            </w:r>
            <w:r w:rsidR="00173953">
              <w:t>r</w:t>
            </w:r>
            <w:r w:rsidR="00173953" w:rsidRPr="00BE0317">
              <w:t xml:space="preserve">eceptors, structures and/or buildings will likely be impacted by construction </w:t>
            </w:r>
            <w:r w:rsidR="00173953">
              <w:t>v</w:t>
            </w:r>
            <w:r w:rsidR="00173953" w:rsidRPr="00BE0317">
              <w:t xml:space="preserve">ibration and </w:t>
            </w:r>
            <w:r w:rsidR="00173953">
              <w:t>a</w:t>
            </w:r>
            <w:r w:rsidR="00173953" w:rsidRPr="00BE0317">
              <w:t xml:space="preserve">ir </w:t>
            </w:r>
            <w:r w:rsidR="00173953">
              <w:t>b</w:t>
            </w:r>
            <w:r w:rsidR="00173953" w:rsidRPr="00BE0317">
              <w:t xml:space="preserve">last </w:t>
            </w:r>
            <w:r w:rsidR="00173953">
              <w:t>o</w:t>
            </w:r>
            <w:r w:rsidR="00173953" w:rsidRPr="00BE0317">
              <w:t>verpressure and from what Works,</w:t>
            </w:r>
          </w:p>
          <w:p w14:paraId="1134DC91" w14:textId="77777777" w:rsidR="00173953" w:rsidRPr="00BE0317" w:rsidRDefault="0021608E" w:rsidP="00173953">
            <w:pPr>
              <w:pStyle w:val="TableBodyText"/>
              <w:keepNext w:val="0"/>
              <w:keepLines w:val="0"/>
              <w:widowControl w:val="0"/>
            </w:pPr>
            <w:sdt>
              <w:sdtPr>
                <w:rPr>
                  <w:rFonts w:eastAsia="MS Gothic"/>
                </w:rPr>
                <w:id w:val="-1988158199"/>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vibration management measures and strategies to avoid or minimise </w:t>
            </w:r>
            <w:r w:rsidR="00173953">
              <w:t>a</w:t>
            </w:r>
            <w:r w:rsidR="00173953" w:rsidRPr="00BE0317">
              <w:t xml:space="preserve">dverse </w:t>
            </w:r>
            <w:r w:rsidR="00173953">
              <w:t>i</w:t>
            </w:r>
            <w:r w:rsidR="00173953" w:rsidRPr="00BE0317">
              <w:t>mpacts of vibration (human comfort) and vibration (structural/building), and</w:t>
            </w:r>
          </w:p>
          <w:p w14:paraId="33FE65FE" w14:textId="77777777" w:rsidR="00173953" w:rsidRPr="00BE0317" w:rsidRDefault="0021608E" w:rsidP="00173953">
            <w:pPr>
              <w:pStyle w:val="TableBodyText"/>
              <w:widowControl w:val="0"/>
            </w:pPr>
            <w:sdt>
              <w:sdtPr>
                <w:id w:val="559761079"/>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contingency plan for observed damage to structures (private, public or Departmental-owned).</w:t>
            </w:r>
          </w:p>
        </w:tc>
        <w:tc>
          <w:tcPr>
            <w:tcW w:w="1701" w:type="dxa"/>
            <w:tcBorders>
              <w:left w:val="single" w:sz="4" w:space="0" w:color="auto"/>
            </w:tcBorders>
            <w:vAlign w:val="top"/>
          </w:tcPr>
          <w:p w14:paraId="419B8768" w14:textId="77777777" w:rsidR="00173953" w:rsidRPr="003D7BBD" w:rsidRDefault="00173953" w:rsidP="00173953">
            <w:pPr>
              <w:pStyle w:val="TableBodyText"/>
              <w:widowControl w:val="0"/>
            </w:pPr>
          </w:p>
        </w:tc>
        <w:tc>
          <w:tcPr>
            <w:tcW w:w="5061" w:type="dxa"/>
            <w:vAlign w:val="top"/>
          </w:tcPr>
          <w:p w14:paraId="06A67B39" w14:textId="77777777" w:rsidR="00173953" w:rsidRPr="003D7BBD" w:rsidRDefault="00173953" w:rsidP="00173953">
            <w:pPr>
              <w:pStyle w:val="TableBodyText"/>
              <w:widowControl w:val="0"/>
            </w:pPr>
          </w:p>
        </w:tc>
      </w:tr>
      <w:tr w:rsidR="00173953" w14:paraId="26A95A54" w14:textId="77777777" w:rsidTr="005F5CFB">
        <w:tc>
          <w:tcPr>
            <w:tcW w:w="13992" w:type="dxa"/>
            <w:gridSpan w:val="4"/>
            <w:shd w:val="clear" w:color="auto" w:fill="F2F2F2" w:themeFill="background1" w:themeFillShade="F2"/>
            <w:vAlign w:val="top"/>
          </w:tcPr>
          <w:p w14:paraId="00E685D8" w14:textId="77777777" w:rsidR="00173953" w:rsidRPr="003D7BBD" w:rsidRDefault="00173953" w:rsidP="00173953">
            <w:pPr>
              <w:pStyle w:val="TableHeading"/>
              <w:keepNext w:val="0"/>
              <w:keepLines w:val="0"/>
              <w:widowControl w:val="0"/>
              <w:jc w:val="left"/>
            </w:pPr>
            <w:r>
              <w:t>Air Quality</w:t>
            </w:r>
          </w:p>
        </w:tc>
      </w:tr>
      <w:tr w:rsidR="00173953" w14:paraId="46F756EB"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49FB1E76" w14:textId="77777777" w:rsidR="00173953" w:rsidRPr="00BE0317" w:rsidRDefault="00173953" w:rsidP="00173953">
            <w:pPr>
              <w:pStyle w:val="TableBodyText"/>
            </w:pPr>
            <w:r w:rsidRPr="00BE0317">
              <w:t>Cl 10.6.3</w:t>
            </w:r>
          </w:p>
        </w:tc>
        <w:tc>
          <w:tcPr>
            <w:tcW w:w="5954" w:type="dxa"/>
            <w:tcBorders>
              <w:top w:val="single" w:sz="4" w:space="0" w:color="auto"/>
              <w:left w:val="single" w:sz="4" w:space="0" w:color="auto"/>
              <w:bottom w:val="single" w:sz="4" w:space="0" w:color="auto"/>
              <w:right w:val="single" w:sz="4" w:space="0" w:color="auto"/>
            </w:tcBorders>
            <w:vAlign w:val="top"/>
          </w:tcPr>
          <w:p w14:paraId="41CC60F5" w14:textId="77777777" w:rsidR="00173953" w:rsidRPr="00BE0317" w:rsidRDefault="00173953" w:rsidP="00173953">
            <w:pPr>
              <w:pStyle w:val="TableBodyText"/>
            </w:pPr>
            <w:r w:rsidRPr="00BE0317">
              <w:t>EMP(M) includes descriptions and diagrams indicating the following:</w:t>
            </w:r>
          </w:p>
          <w:p w14:paraId="58B06F1E" w14:textId="77777777" w:rsidR="00173953" w:rsidRPr="00BE0317" w:rsidRDefault="0021608E" w:rsidP="00173953">
            <w:pPr>
              <w:pStyle w:val="TableBodyText"/>
            </w:pPr>
            <w:sdt>
              <w:sdtPr>
                <w:id w:val="-396828519"/>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location of </w:t>
            </w:r>
            <w:r w:rsidR="00173953">
              <w:t>a</w:t>
            </w:r>
            <w:r w:rsidR="00173953" w:rsidRPr="00BE0317">
              <w:t xml:space="preserve">ir </w:t>
            </w:r>
            <w:r w:rsidR="00173953">
              <w:t>q</w:t>
            </w:r>
            <w:r w:rsidR="00173953" w:rsidRPr="00BE0317">
              <w:t xml:space="preserve">uality </w:t>
            </w:r>
            <w:r w:rsidR="00173953">
              <w:t>s</w:t>
            </w:r>
            <w:r w:rsidR="00173953" w:rsidRPr="00BE0317">
              <w:t xml:space="preserve">ensitive </w:t>
            </w:r>
            <w:r w:rsidR="00173953">
              <w:t>r</w:t>
            </w:r>
            <w:r w:rsidR="00173953" w:rsidRPr="00BE0317">
              <w:t>eceivers,</w:t>
            </w:r>
          </w:p>
          <w:p w14:paraId="03A3C31E" w14:textId="77777777" w:rsidR="00173953" w:rsidRPr="00BE0317" w:rsidRDefault="0021608E" w:rsidP="00173953">
            <w:pPr>
              <w:pStyle w:val="TableBodyText"/>
            </w:pPr>
            <w:sdt>
              <w:sdtPr>
                <w:rPr>
                  <w:rFonts w:eastAsia="MS Gothic"/>
                </w:rPr>
                <w:id w:val="1832411494"/>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list of works likely to </w:t>
            </w:r>
            <w:r w:rsidR="00173953">
              <w:t>a</w:t>
            </w:r>
            <w:r w:rsidR="00173953" w:rsidRPr="00BE0317">
              <w:rPr>
                <w:iCs/>
              </w:rPr>
              <w:t xml:space="preserve">dversely </w:t>
            </w:r>
            <w:r w:rsidR="00173953">
              <w:rPr>
                <w:iCs/>
              </w:rPr>
              <w:t>i</w:t>
            </w:r>
            <w:r w:rsidR="00173953" w:rsidRPr="00BE0317">
              <w:rPr>
                <w:iCs/>
              </w:rPr>
              <w:t xml:space="preserve">mpact </w:t>
            </w:r>
            <w:r w:rsidR="00173953" w:rsidRPr="00BE0317">
              <w:t>air quality and location of the Works on Site for example, odour from asphalt overlays, waste deposited during litter or dead animal collection, dust from excavation),</w:t>
            </w:r>
          </w:p>
          <w:p w14:paraId="3C811AFC" w14:textId="77777777" w:rsidR="00173953" w:rsidRPr="00BE0317" w:rsidRDefault="0021608E" w:rsidP="00173953">
            <w:pPr>
              <w:pStyle w:val="TableBodyText"/>
            </w:pPr>
            <w:sdt>
              <w:sdtPr>
                <w:rPr>
                  <w:rFonts w:eastAsia="MS Gothic"/>
                </w:rPr>
                <w:id w:val="-240486610"/>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prevailing wind direction and speeds (wind rose) generally expected for the Site location (available from Bureau of Meteorology),</w:t>
            </w:r>
          </w:p>
          <w:p w14:paraId="3FF4FB28" w14:textId="77777777" w:rsidR="00173953" w:rsidRPr="00BE0317" w:rsidRDefault="0021608E" w:rsidP="00173953">
            <w:pPr>
              <w:pStyle w:val="TableBodyText"/>
            </w:pPr>
            <w:sdt>
              <w:sdtPr>
                <w:rPr>
                  <w:rFonts w:eastAsia="MS Gothic"/>
                </w:rPr>
                <w:id w:val="2065452399"/>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w:t>
            </w:r>
            <w:r w:rsidR="00173953">
              <w:t>m</w:t>
            </w:r>
            <w:r w:rsidR="00173953" w:rsidRPr="00BE0317">
              <w:t xml:space="preserve">anagement </w:t>
            </w:r>
            <w:r w:rsidR="00173953">
              <w:t>m</w:t>
            </w:r>
            <w:r w:rsidR="00173953" w:rsidRPr="00BE0317">
              <w:t xml:space="preserve">easures and strategies for minimising </w:t>
            </w:r>
            <w:r w:rsidR="00173953">
              <w:t>a</w:t>
            </w:r>
            <w:r w:rsidR="00173953" w:rsidRPr="00BE0317">
              <w:t xml:space="preserve">dverse </w:t>
            </w:r>
            <w:r w:rsidR="00173953">
              <w:t>i</w:t>
            </w:r>
            <w:r w:rsidR="00173953" w:rsidRPr="00BE0317">
              <w:t xml:space="preserve">mpacts to air quality, </w:t>
            </w:r>
            <w:r w:rsidR="00173953">
              <w:t>e</w:t>
            </w:r>
            <w:r w:rsidR="00173953" w:rsidRPr="00BE0317">
              <w:t xml:space="preserve">nvironmental </w:t>
            </w:r>
            <w:r w:rsidR="00173953">
              <w:t>n</w:t>
            </w:r>
            <w:r w:rsidR="00173953" w:rsidRPr="00BE0317">
              <w:t xml:space="preserve">uisance and </w:t>
            </w:r>
            <w:r w:rsidR="00173953">
              <w:t>e</w:t>
            </w:r>
            <w:r w:rsidR="00173953" w:rsidRPr="00BE0317">
              <w:t xml:space="preserve">nvironmental </w:t>
            </w:r>
            <w:r w:rsidR="00173953">
              <w:t>h</w:t>
            </w:r>
            <w:r w:rsidR="00173953" w:rsidRPr="00BE0317">
              <w:t xml:space="preserve">arm. Works that may result in air quality emissions of a substance harmful to health, </w:t>
            </w:r>
            <w:r w:rsidR="00173953" w:rsidRPr="00BE0317">
              <w:rPr>
                <w:b/>
              </w:rPr>
              <w:t>ARE</w:t>
            </w:r>
            <w:r w:rsidR="00173953" w:rsidRPr="00BE0317">
              <w:t xml:space="preserve"> identified and additional specific management practices and controls prescribed.</w:t>
            </w:r>
          </w:p>
          <w:p w14:paraId="3453FD8E" w14:textId="77777777" w:rsidR="00173953" w:rsidRPr="00BE0317" w:rsidRDefault="0021608E" w:rsidP="00173953">
            <w:pPr>
              <w:pStyle w:val="TableBodyText"/>
            </w:pPr>
            <w:sdt>
              <w:sdtPr>
                <w:rPr>
                  <w:rFonts w:eastAsia="MS Gothic"/>
                </w:rPr>
                <w:id w:val="-1147432608"/>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where monitoring is requested by the Principal, air quality monitoring methodology, equipment used, frequency, duration, location of equipment and details of the person undertaking the monitoring assessment,</w:t>
            </w:r>
          </w:p>
          <w:p w14:paraId="15330A21" w14:textId="77777777" w:rsidR="00173953" w:rsidRPr="00BE0317" w:rsidRDefault="0021608E" w:rsidP="00173953">
            <w:pPr>
              <w:pStyle w:val="TableBodyText"/>
            </w:pPr>
            <w:sdt>
              <w:sdtPr>
                <w:id w:val="726962290"/>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w:t>
            </w:r>
            <w:r w:rsidR="00173953">
              <w:t>c</w:t>
            </w:r>
            <w:r w:rsidR="00173953" w:rsidRPr="00BE0317">
              <w:t>ontingency plan for observations of emissions exceeding criteria.</w:t>
            </w:r>
          </w:p>
        </w:tc>
        <w:tc>
          <w:tcPr>
            <w:tcW w:w="1701" w:type="dxa"/>
            <w:tcBorders>
              <w:left w:val="single" w:sz="4" w:space="0" w:color="auto"/>
            </w:tcBorders>
            <w:vAlign w:val="top"/>
          </w:tcPr>
          <w:p w14:paraId="621849C9" w14:textId="77777777" w:rsidR="00173953" w:rsidRDefault="00173953" w:rsidP="00173953">
            <w:pPr>
              <w:pStyle w:val="TableBodyText"/>
              <w:keepNext w:val="0"/>
              <w:keepLines w:val="0"/>
              <w:widowControl w:val="0"/>
            </w:pPr>
          </w:p>
        </w:tc>
        <w:tc>
          <w:tcPr>
            <w:tcW w:w="5061" w:type="dxa"/>
            <w:vAlign w:val="top"/>
          </w:tcPr>
          <w:p w14:paraId="58D38DE4" w14:textId="77777777" w:rsidR="00173953" w:rsidRDefault="00173953" w:rsidP="00173953">
            <w:pPr>
              <w:pStyle w:val="TableBodyText"/>
              <w:keepNext w:val="0"/>
              <w:keepLines w:val="0"/>
              <w:widowControl w:val="0"/>
            </w:pPr>
          </w:p>
        </w:tc>
      </w:tr>
      <w:tr w:rsidR="00173953" w14:paraId="1AC19C4B" w14:textId="77777777" w:rsidTr="001326DE">
        <w:tc>
          <w:tcPr>
            <w:tcW w:w="13992" w:type="dxa"/>
            <w:gridSpan w:val="4"/>
            <w:shd w:val="clear" w:color="auto" w:fill="F2F2F2" w:themeFill="background1" w:themeFillShade="F2"/>
            <w:vAlign w:val="top"/>
          </w:tcPr>
          <w:p w14:paraId="19CE4F36" w14:textId="77777777" w:rsidR="00173953" w:rsidRDefault="00173953" w:rsidP="00173953">
            <w:pPr>
              <w:pStyle w:val="TableHeading"/>
              <w:keepNext w:val="0"/>
              <w:keepLines w:val="0"/>
              <w:widowControl w:val="0"/>
              <w:jc w:val="left"/>
            </w:pPr>
            <w:r>
              <w:t>Acid Sulphate Soils</w:t>
            </w:r>
          </w:p>
        </w:tc>
      </w:tr>
      <w:tr w:rsidR="00173953" w14:paraId="0AE95FE5" w14:textId="77777777" w:rsidTr="00714DC2">
        <w:tc>
          <w:tcPr>
            <w:tcW w:w="1276" w:type="dxa"/>
            <w:vAlign w:val="top"/>
          </w:tcPr>
          <w:p w14:paraId="10959C47" w14:textId="77777777" w:rsidR="00173953" w:rsidRPr="00BE0317" w:rsidRDefault="00173953" w:rsidP="00173953">
            <w:pPr>
              <w:pStyle w:val="TableBodyText"/>
              <w:keepNext w:val="0"/>
              <w:keepLines w:val="0"/>
              <w:widowControl w:val="0"/>
            </w:pPr>
            <w:r w:rsidRPr="00BE0317">
              <w:t>Cl 10.7 &amp; MRTS04 Cl 10.2</w:t>
            </w:r>
          </w:p>
        </w:tc>
        <w:tc>
          <w:tcPr>
            <w:tcW w:w="5954" w:type="dxa"/>
            <w:vAlign w:val="top"/>
          </w:tcPr>
          <w:p w14:paraId="5698F7A7" w14:textId="77777777" w:rsidR="00173953" w:rsidRPr="00BE0317" w:rsidRDefault="00173953" w:rsidP="00173953">
            <w:pPr>
              <w:pStyle w:val="TableBodyText"/>
              <w:keepNext w:val="0"/>
              <w:keepLines w:val="0"/>
              <w:widowControl w:val="0"/>
            </w:pPr>
            <w:r w:rsidRPr="00BE0317">
              <w:t xml:space="preserve">The EMP (M) contains </w:t>
            </w:r>
            <w:proofErr w:type="spellStart"/>
            <w:r w:rsidRPr="00BE0317">
              <w:t>provsions</w:t>
            </w:r>
            <w:proofErr w:type="spellEnd"/>
            <w:r w:rsidRPr="00BE0317">
              <w:t xml:space="preserve"> for MRTS04 </w:t>
            </w:r>
            <w:proofErr w:type="spellStart"/>
            <w:r w:rsidRPr="00BE0317">
              <w:t>requirments</w:t>
            </w:r>
            <w:proofErr w:type="spellEnd"/>
            <w:r w:rsidRPr="00BE0317">
              <w:t>:</w:t>
            </w:r>
          </w:p>
          <w:p w14:paraId="4561B3C9" w14:textId="77777777" w:rsidR="00173953" w:rsidRPr="00BE0317" w:rsidRDefault="0021608E" w:rsidP="00173953">
            <w:pPr>
              <w:pStyle w:val="TableBodyText"/>
              <w:keepNext w:val="0"/>
              <w:keepLines w:val="0"/>
              <w:widowControl w:val="0"/>
            </w:pPr>
            <w:sdt>
              <w:sdtPr>
                <w:id w:val="1246697749"/>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initial assessment of acid sulphate soils,</w:t>
            </w:r>
          </w:p>
          <w:p w14:paraId="503AF1FF" w14:textId="77777777" w:rsidR="00173953" w:rsidRPr="00BE0317" w:rsidRDefault="0021608E" w:rsidP="00173953">
            <w:pPr>
              <w:pStyle w:val="TableBodyText"/>
              <w:keepNext w:val="0"/>
              <w:keepLines w:val="0"/>
              <w:widowControl w:val="0"/>
            </w:pPr>
            <w:sdt>
              <w:sdtPr>
                <w:id w:val="-1624992480"/>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management of acid sulphate soils,</w:t>
            </w:r>
          </w:p>
          <w:p w14:paraId="0062A486" w14:textId="77777777" w:rsidR="00173953" w:rsidRPr="00BE0317" w:rsidRDefault="00173953" w:rsidP="00173953">
            <w:pPr>
              <w:pStyle w:val="TableBodyText"/>
              <w:keepNext w:val="0"/>
              <w:keepLines w:val="0"/>
              <w:widowControl w:val="0"/>
            </w:pPr>
            <w:r w:rsidRPr="00BE0317">
              <w:t>Where potentially acid sulphate soils are discovered, detailed methods for the identification, assessment and treatment of acid sulphate soils are set out in an acid sulphate soil management plan as part of the EMP.</w:t>
            </w:r>
          </w:p>
          <w:p w14:paraId="634E56D5" w14:textId="77777777" w:rsidR="00173953" w:rsidRPr="00BE0317" w:rsidRDefault="0021608E" w:rsidP="00173953">
            <w:pPr>
              <w:pStyle w:val="TableBodyText"/>
              <w:keepNext w:val="0"/>
              <w:keepLines w:val="0"/>
              <w:widowControl w:val="0"/>
            </w:pPr>
            <w:sdt>
              <w:sdtPr>
                <w:id w:val="1605460171"/>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testing and reporting of acid sulphate soils,</w:t>
            </w:r>
          </w:p>
          <w:p w14:paraId="4F662563" w14:textId="77777777" w:rsidR="00173953" w:rsidRPr="00BE0317" w:rsidRDefault="0021608E" w:rsidP="00173953">
            <w:pPr>
              <w:pStyle w:val="TableBodyText"/>
              <w:keepNext w:val="0"/>
              <w:keepLines w:val="0"/>
              <w:widowControl w:val="0"/>
            </w:pPr>
            <w:sdt>
              <w:sdtPr>
                <w:id w:val="-1073652372"/>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assessment of potential acid sulphate soils</w:t>
            </w:r>
            <w:r w:rsidR="00173953">
              <w:t>,</w:t>
            </w:r>
          </w:p>
          <w:p w14:paraId="1CB5206F" w14:textId="77777777" w:rsidR="00173953" w:rsidRPr="00BE0317" w:rsidRDefault="00173953" w:rsidP="00173953">
            <w:pPr>
              <w:pStyle w:val="TableBodyText"/>
              <w:keepNext w:val="0"/>
              <w:keepLines w:val="0"/>
              <w:widowControl w:val="0"/>
            </w:pPr>
            <w:r w:rsidRPr="00BE0317">
              <w:t>Specific soil sampling methods are outlined in the Contractor's acid sulphate soil management plan.</w:t>
            </w:r>
          </w:p>
          <w:p w14:paraId="6BA9F127" w14:textId="77777777" w:rsidR="00173953" w:rsidRPr="00BE0317" w:rsidRDefault="00173953" w:rsidP="00173953">
            <w:pPr>
              <w:pStyle w:val="TableBodyText"/>
              <w:keepNext w:val="0"/>
              <w:keepLines w:val="0"/>
              <w:widowControl w:val="0"/>
            </w:pPr>
            <w:r w:rsidRPr="00BE0317">
              <w:t xml:space="preserve">      </w:t>
            </w:r>
            <w:sdt>
              <w:sdtPr>
                <w:id w:val="-1870530174"/>
                <w14:checkbox>
                  <w14:checked w14:val="0"/>
                  <w14:checkedState w14:val="2612" w14:font="MS Gothic"/>
                  <w14:uncheckedState w14:val="2610" w14:font="MS Gothic"/>
                </w14:checkbox>
              </w:sdtPr>
              <w:sdtEndPr/>
              <w:sdtContent>
                <w:r w:rsidRPr="00BE0317">
                  <w:rPr>
                    <w:rFonts w:ascii="Segoe UI Symbol" w:eastAsia="MS Gothic" w:hAnsi="Segoe UI Symbol" w:cs="Segoe UI Symbol"/>
                  </w:rPr>
                  <w:t>☐</w:t>
                </w:r>
              </w:sdtContent>
            </w:sdt>
            <w:r w:rsidRPr="00BE0317">
              <w:t xml:space="preserve">  soil treatment,</w:t>
            </w:r>
          </w:p>
          <w:p w14:paraId="71955329" w14:textId="77777777" w:rsidR="00173953" w:rsidRPr="00BE0317" w:rsidRDefault="00173953" w:rsidP="00173953">
            <w:pPr>
              <w:pStyle w:val="TableBodyText"/>
              <w:keepNext w:val="0"/>
              <w:keepLines w:val="0"/>
              <w:widowControl w:val="0"/>
            </w:pPr>
            <w:r w:rsidRPr="00BE0317">
              <w:t>Methods of treatment are outlined in the Contractor's acid sulphate soil management plan.</w:t>
            </w:r>
          </w:p>
          <w:p w14:paraId="08A43E9D" w14:textId="77777777" w:rsidR="00173953" w:rsidRPr="00BE0317" w:rsidRDefault="00173953" w:rsidP="00173953">
            <w:pPr>
              <w:pStyle w:val="TableBodyText"/>
              <w:keepNext w:val="0"/>
              <w:keepLines w:val="0"/>
              <w:widowControl w:val="0"/>
            </w:pPr>
            <w:r w:rsidRPr="00BE0317">
              <w:t xml:space="preserve">      </w:t>
            </w:r>
            <w:sdt>
              <w:sdtPr>
                <w:id w:val="351309220"/>
                <w14:checkbox>
                  <w14:checked w14:val="0"/>
                  <w14:checkedState w14:val="2612" w14:font="MS Gothic"/>
                  <w14:uncheckedState w14:val="2610" w14:font="MS Gothic"/>
                </w14:checkbox>
              </w:sdtPr>
              <w:sdtEndPr/>
              <w:sdtContent>
                <w:r w:rsidRPr="00BE0317">
                  <w:rPr>
                    <w:rFonts w:ascii="Segoe UI Symbol" w:hAnsi="Segoe UI Symbol" w:cs="Segoe UI Symbol"/>
                  </w:rPr>
                  <w:t>☐</w:t>
                </w:r>
              </w:sdtContent>
            </w:sdt>
            <w:r w:rsidRPr="00BE0317">
              <w:t xml:space="preserve">  water treatment</w:t>
            </w:r>
            <w:r>
              <w:t>,</w:t>
            </w:r>
          </w:p>
          <w:p w14:paraId="2002C41C" w14:textId="77777777" w:rsidR="00173953" w:rsidRPr="00BE0317" w:rsidRDefault="0021608E" w:rsidP="00173953">
            <w:pPr>
              <w:pStyle w:val="TableBodyText"/>
              <w:keepNext w:val="0"/>
              <w:keepLines w:val="0"/>
              <w:widowControl w:val="0"/>
            </w:pPr>
            <w:sdt>
              <w:sdtPr>
                <w:id w:val="-1282723829"/>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w:t>
            </w:r>
            <w:r w:rsidR="00173953">
              <w:t>d</w:t>
            </w:r>
            <w:r w:rsidR="00173953" w:rsidRPr="00BE0317">
              <w:t>etails of management and treatment methods and release parameters are included in the Contractor's acid sulphate soil management plan.</w:t>
            </w:r>
          </w:p>
        </w:tc>
        <w:tc>
          <w:tcPr>
            <w:tcW w:w="1701" w:type="dxa"/>
            <w:vAlign w:val="top"/>
          </w:tcPr>
          <w:p w14:paraId="252A2D0E" w14:textId="77777777" w:rsidR="00173953" w:rsidRDefault="00173953" w:rsidP="00173953">
            <w:pPr>
              <w:pStyle w:val="TableBodyText"/>
              <w:keepNext w:val="0"/>
              <w:keepLines w:val="0"/>
              <w:widowControl w:val="0"/>
            </w:pPr>
          </w:p>
        </w:tc>
        <w:tc>
          <w:tcPr>
            <w:tcW w:w="5061" w:type="dxa"/>
            <w:vAlign w:val="top"/>
          </w:tcPr>
          <w:p w14:paraId="5E0F457B" w14:textId="77777777" w:rsidR="00173953" w:rsidRDefault="00173953" w:rsidP="00173953">
            <w:pPr>
              <w:pStyle w:val="TableBodyText"/>
              <w:keepNext w:val="0"/>
              <w:keepLines w:val="0"/>
              <w:widowControl w:val="0"/>
            </w:pPr>
          </w:p>
        </w:tc>
      </w:tr>
      <w:tr w:rsidR="00173953" w14:paraId="347EEDCB" w14:textId="77777777" w:rsidTr="00B05B2E">
        <w:tc>
          <w:tcPr>
            <w:tcW w:w="13992" w:type="dxa"/>
            <w:gridSpan w:val="4"/>
            <w:shd w:val="clear" w:color="auto" w:fill="F2F2F2" w:themeFill="background1" w:themeFillShade="F2"/>
            <w:vAlign w:val="top"/>
          </w:tcPr>
          <w:p w14:paraId="3610905C" w14:textId="77777777" w:rsidR="00173953" w:rsidRDefault="00173953" w:rsidP="00173953">
            <w:pPr>
              <w:pStyle w:val="TableHeading"/>
              <w:keepNext w:val="0"/>
              <w:keepLines w:val="0"/>
              <w:widowControl w:val="0"/>
              <w:jc w:val="left"/>
            </w:pPr>
            <w:r>
              <w:t>Contaminated Sites</w:t>
            </w:r>
          </w:p>
        </w:tc>
      </w:tr>
      <w:tr w:rsidR="00173953" w14:paraId="4B4AE5E3"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04754C75" w14:textId="77777777" w:rsidR="00173953" w:rsidRPr="00BE0317" w:rsidRDefault="00173953" w:rsidP="00173953">
            <w:pPr>
              <w:pStyle w:val="TableBodyText"/>
            </w:pPr>
            <w:r w:rsidRPr="00BE0317">
              <w:t>Cl 10.8</w:t>
            </w:r>
          </w:p>
        </w:tc>
        <w:tc>
          <w:tcPr>
            <w:tcW w:w="5954" w:type="dxa"/>
            <w:tcBorders>
              <w:top w:val="single" w:sz="4" w:space="0" w:color="auto"/>
              <w:left w:val="single" w:sz="4" w:space="0" w:color="auto"/>
              <w:bottom w:val="single" w:sz="4" w:space="0" w:color="auto"/>
              <w:right w:val="single" w:sz="4" w:space="0" w:color="auto"/>
            </w:tcBorders>
            <w:vAlign w:val="top"/>
          </w:tcPr>
          <w:p w14:paraId="2302D177" w14:textId="77777777" w:rsidR="00173953" w:rsidRPr="00BE0317" w:rsidRDefault="00173953" w:rsidP="00173953">
            <w:pPr>
              <w:pStyle w:val="TableBodyText"/>
            </w:pPr>
            <w:r w:rsidRPr="00BE0317">
              <w:t>The EMP (M) contains documents and/or diagrams indicating the following:</w:t>
            </w:r>
          </w:p>
          <w:p w14:paraId="3E2A751B" w14:textId="77777777" w:rsidR="00173953" w:rsidRPr="00BE0317" w:rsidRDefault="0021608E" w:rsidP="00173953">
            <w:pPr>
              <w:pStyle w:val="TableBodyText"/>
            </w:pPr>
            <w:sdt>
              <w:sdtPr>
                <w:id w:val="-147438867"/>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location of known contaminated sites and known </w:t>
            </w:r>
            <w:proofErr w:type="spellStart"/>
            <w:r w:rsidR="00173953" w:rsidRPr="00BE0317">
              <w:t>insitu</w:t>
            </w:r>
            <w:proofErr w:type="spellEnd"/>
            <w:r w:rsidR="00173953" w:rsidRPr="00BE0317">
              <w:t xml:space="preserve"> contaminants,</w:t>
            </w:r>
          </w:p>
          <w:p w14:paraId="7DDB7375" w14:textId="77777777" w:rsidR="00173953" w:rsidRPr="00BE0317" w:rsidRDefault="0021608E" w:rsidP="00173953">
            <w:pPr>
              <w:pStyle w:val="TableBodyText"/>
            </w:pPr>
            <w:sdt>
              <w:sdtPr>
                <w:id w:val="-65020944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management measures and monitoring requirements applicable to each contaminated site,</w:t>
            </w:r>
          </w:p>
          <w:p w14:paraId="66E949DC" w14:textId="77777777" w:rsidR="00173953" w:rsidRPr="00BE0317" w:rsidRDefault="0021608E" w:rsidP="00173953">
            <w:pPr>
              <w:pStyle w:val="TableBodyText"/>
            </w:pPr>
            <w:sdt>
              <w:sdtPr>
                <w:id w:val="-1677026372"/>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contingency plan for the event of contaminants leaving Site or being discovered on Site,</w:t>
            </w:r>
          </w:p>
          <w:p w14:paraId="1EC36E97" w14:textId="77777777" w:rsidR="00173953" w:rsidRPr="00BE0317" w:rsidRDefault="0021608E" w:rsidP="00173953">
            <w:pPr>
              <w:pStyle w:val="TableBodyText"/>
            </w:pPr>
            <w:sdt>
              <w:sdtPr>
                <w:rPr>
                  <w:rFonts w:eastAsia="MS Gothic"/>
                </w:rPr>
                <w:id w:val="-867598108"/>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reasonable and practicable management measures to prevent and report land contamination.</w:t>
            </w:r>
          </w:p>
        </w:tc>
        <w:tc>
          <w:tcPr>
            <w:tcW w:w="1701" w:type="dxa"/>
            <w:tcBorders>
              <w:left w:val="single" w:sz="4" w:space="0" w:color="auto"/>
            </w:tcBorders>
            <w:vAlign w:val="top"/>
          </w:tcPr>
          <w:p w14:paraId="4A765F63" w14:textId="77777777" w:rsidR="00173953" w:rsidRDefault="00173953" w:rsidP="00173953">
            <w:pPr>
              <w:pStyle w:val="TableBodyText"/>
              <w:keepNext w:val="0"/>
              <w:keepLines w:val="0"/>
              <w:widowControl w:val="0"/>
            </w:pPr>
          </w:p>
        </w:tc>
        <w:tc>
          <w:tcPr>
            <w:tcW w:w="5061" w:type="dxa"/>
            <w:vAlign w:val="top"/>
          </w:tcPr>
          <w:p w14:paraId="3A362C36" w14:textId="77777777" w:rsidR="00173953" w:rsidRDefault="00173953" w:rsidP="00173953">
            <w:pPr>
              <w:pStyle w:val="TableBodyText"/>
              <w:keepNext w:val="0"/>
              <w:keepLines w:val="0"/>
              <w:widowControl w:val="0"/>
            </w:pPr>
          </w:p>
        </w:tc>
      </w:tr>
      <w:tr w:rsidR="00173953" w14:paraId="224950C6"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1362203E" w14:textId="77777777" w:rsidR="00173953" w:rsidRPr="00BE0317" w:rsidRDefault="00173953" w:rsidP="00173953">
            <w:pPr>
              <w:pStyle w:val="TableBodyText"/>
            </w:pPr>
            <w:r w:rsidRPr="00BE0317">
              <w:t>Cl 10.8 &amp; MRTS04 Cl 11</w:t>
            </w:r>
          </w:p>
        </w:tc>
        <w:tc>
          <w:tcPr>
            <w:tcW w:w="5954" w:type="dxa"/>
            <w:tcBorders>
              <w:top w:val="single" w:sz="4" w:space="0" w:color="auto"/>
              <w:left w:val="single" w:sz="4" w:space="0" w:color="auto"/>
              <w:bottom w:val="single" w:sz="4" w:space="0" w:color="auto"/>
              <w:right w:val="single" w:sz="4" w:space="0" w:color="auto"/>
            </w:tcBorders>
            <w:vAlign w:val="top"/>
          </w:tcPr>
          <w:p w14:paraId="367B97C8" w14:textId="77777777" w:rsidR="00173953" w:rsidRPr="00BE0317" w:rsidRDefault="0021608E" w:rsidP="00173953">
            <w:pPr>
              <w:pStyle w:val="TableBodyText"/>
            </w:pPr>
            <w:sdt>
              <w:sdtPr>
                <w:id w:val="-737479954"/>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EMP(M) describes management measures for the use or disposal of surplus and unsuitable materials.</w:t>
            </w:r>
          </w:p>
        </w:tc>
        <w:tc>
          <w:tcPr>
            <w:tcW w:w="1701" w:type="dxa"/>
            <w:tcBorders>
              <w:left w:val="single" w:sz="4" w:space="0" w:color="auto"/>
            </w:tcBorders>
            <w:vAlign w:val="top"/>
          </w:tcPr>
          <w:p w14:paraId="3E7AA268" w14:textId="77777777" w:rsidR="00173953" w:rsidRDefault="00173953" w:rsidP="00173953">
            <w:pPr>
              <w:pStyle w:val="TableBodyText"/>
              <w:widowControl w:val="0"/>
            </w:pPr>
          </w:p>
        </w:tc>
        <w:tc>
          <w:tcPr>
            <w:tcW w:w="5061" w:type="dxa"/>
            <w:vAlign w:val="top"/>
          </w:tcPr>
          <w:p w14:paraId="01B545F4" w14:textId="77777777" w:rsidR="00173953" w:rsidRDefault="00173953" w:rsidP="00173953">
            <w:pPr>
              <w:pStyle w:val="TableBodyText"/>
              <w:widowControl w:val="0"/>
            </w:pPr>
          </w:p>
        </w:tc>
      </w:tr>
      <w:tr w:rsidR="00173953" w14:paraId="00ADA0C7" w14:textId="77777777" w:rsidTr="00B05B2E">
        <w:tc>
          <w:tcPr>
            <w:tcW w:w="13992" w:type="dxa"/>
            <w:gridSpan w:val="4"/>
            <w:shd w:val="clear" w:color="auto" w:fill="F2F2F2" w:themeFill="background1" w:themeFillShade="F2"/>
            <w:vAlign w:val="top"/>
          </w:tcPr>
          <w:p w14:paraId="71AC7912" w14:textId="77777777" w:rsidR="00173953" w:rsidRDefault="00173953" w:rsidP="00173953">
            <w:pPr>
              <w:pStyle w:val="TableHeading"/>
              <w:keepNext w:val="0"/>
              <w:keepLines w:val="0"/>
              <w:widowControl w:val="0"/>
              <w:jc w:val="left"/>
            </w:pPr>
            <w:r>
              <w:t>Native Fauna</w:t>
            </w:r>
          </w:p>
        </w:tc>
      </w:tr>
      <w:tr w:rsidR="00173953" w14:paraId="6E6744EB"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1FFDA1E0" w14:textId="77777777" w:rsidR="00173953" w:rsidRPr="00BE0317" w:rsidRDefault="00173953" w:rsidP="00173953">
            <w:pPr>
              <w:pStyle w:val="TableBodyText"/>
              <w:keepNext w:val="0"/>
              <w:keepLines w:val="0"/>
              <w:widowControl w:val="0"/>
            </w:pPr>
            <w:r w:rsidRPr="00BE0317">
              <w:t>Cl 10.9</w:t>
            </w:r>
          </w:p>
        </w:tc>
        <w:tc>
          <w:tcPr>
            <w:tcW w:w="5954" w:type="dxa"/>
            <w:tcBorders>
              <w:top w:val="single" w:sz="4" w:space="0" w:color="auto"/>
              <w:left w:val="single" w:sz="4" w:space="0" w:color="auto"/>
              <w:bottom w:val="single" w:sz="4" w:space="0" w:color="auto"/>
              <w:right w:val="single" w:sz="4" w:space="0" w:color="auto"/>
            </w:tcBorders>
            <w:vAlign w:val="top"/>
          </w:tcPr>
          <w:p w14:paraId="6037CEF6" w14:textId="77777777" w:rsidR="00173953" w:rsidRPr="00BE0317" w:rsidRDefault="00173953" w:rsidP="00173953">
            <w:pPr>
              <w:pStyle w:val="TableBodyText"/>
              <w:keepNext w:val="0"/>
              <w:keepLines w:val="0"/>
              <w:widowControl w:val="0"/>
            </w:pPr>
            <w:r w:rsidRPr="00BE0317">
              <w:t>The EMP (M) contains documents and/or diagrams indicating the following:</w:t>
            </w:r>
          </w:p>
          <w:p w14:paraId="580BAEBC" w14:textId="77777777" w:rsidR="00173953" w:rsidRPr="00BE0317" w:rsidRDefault="0021608E" w:rsidP="00173953">
            <w:pPr>
              <w:pStyle w:val="TableBodyText"/>
              <w:keepNext w:val="0"/>
              <w:keepLines w:val="0"/>
              <w:widowControl w:val="0"/>
            </w:pPr>
            <w:sdt>
              <w:sdtPr>
                <w:id w:val="-1804069714"/>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identification of activities that are likely to impact fauna, habitat or animal breeding places and the nature of impacts,</w:t>
            </w:r>
          </w:p>
          <w:p w14:paraId="533B5217" w14:textId="77777777" w:rsidR="00173953" w:rsidRPr="00BE0317" w:rsidRDefault="0021608E" w:rsidP="00173953">
            <w:pPr>
              <w:pStyle w:val="TableBodyText"/>
              <w:widowControl w:val="0"/>
            </w:pPr>
            <w:sdt>
              <w:sdtPr>
                <w:id w:val="1043482449"/>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identification of mapped Queensland waterways for </w:t>
            </w:r>
            <w:r w:rsidR="00173953">
              <w:t>w</w:t>
            </w:r>
            <w:r w:rsidR="00173953" w:rsidRPr="00BE0317">
              <w:t xml:space="preserve">aterway </w:t>
            </w:r>
            <w:r w:rsidR="00173953">
              <w:t>b</w:t>
            </w:r>
            <w:r w:rsidR="00173953" w:rsidRPr="00BE0317">
              <w:t xml:space="preserve">arrier </w:t>
            </w:r>
            <w:r w:rsidR="00173953">
              <w:t>w</w:t>
            </w:r>
            <w:r w:rsidR="00173953" w:rsidRPr="00BE0317">
              <w:t xml:space="preserve">orks impacted by the Work under the Contract and location of any temporary </w:t>
            </w:r>
            <w:r w:rsidR="00173953">
              <w:t>w</w:t>
            </w:r>
            <w:r w:rsidR="00173953" w:rsidRPr="00BE0317">
              <w:t xml:space="preserve">aterway </w:t>
            </w:r>
            <w:r w:rsidR="00173953">
              <w:t>b</w:t>
            </w:r>
            <w:r w:rsidR="00173953" w:rsidRPr="00BE0317">
              <w:t xml:space="preserve">arrier </w:t>
            </w:r>
            <w:r w:rsidR="00173953">
              <w:t>w</w:t>
            </w:r>
            <w:r w:rsidR="00173953" w:rsidRPr="00BE0317">
              <w:t>orks,</w:t>
            </w:r>
          </w:p>
          <w:p w14:paraId="25C9167F" w14:textId="77777777" w:rsidR="00173953" w:rsidRPr="00BE0317" w:rsidRDefault="0021608E" w:rsidP="00173953">
            <w:pPr>
              <w:pStyle w:val="TableBodyText"/>
              <w:keepNext w:val="0"/>
              <w:keepLines w:val="0"/>
              <w:widowControl w:val="0"/>
            </w:pPr>
            <w:sdt>
              <w:sdtPr>
                <w:rPr>
                  <w:rFonts w:eastAsia="MS Gothic"/>
                </w:rPr>
                <w:id w:val="648012382"/>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management measures and strategies for native fauna, breeding places, habitat and fish passage, including details of any suitably qualified and experienced person (fauna) to be utilised for fauna management,</w:t>
            </w:r>
          </w:p>
          <w:p w14:paraId="2E70CD52" w14:textId="77777777" w:rsidR="00173953" w:rsidRPr="00BE0317" w:rsidRDefault="0021608E" w:rsidP="00173953">
            <w:pPr>
              <w:pStyle w:val="TableBodyText"/>
              <w:keepNext w:val="0"/>
              <w:keepLines w:val="0"/>
              <w:widowControl w:val="0"/>
            </w:pPr>
            <w:sdt>
              <w:sdtPr>
                <w:rPr>
                  <w:rFonts w:eastAsia="MS Gothic"/>
                </w:rPr>
                <w:id w:val="-706637572"/>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contingency plan including procedures for fauna rescue and release including treatment of fauna injured by Work under the Contract, and</w:t>
            </w:r>
          </w:p>
          <w:p w14:paraId="38818BB2" w14:textId="77777777" w:rsidR="00173953" w:rsidRPr="00BE0317" w:rsidRDefault="0021608E" w:rsidP="00173953">
            <w:pPr>
              <w:pStyle w:val="TableBodyText"/>
              <w:keepNext w:val="0"/>
              <w:keepLines w:val="0"/>
              <w:widowControl w:val="0"/>
            </w:pPr>
            <w:sdt>
              <w:sdtPr>
                <w:id w:val="2039928554"/>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contact details for emergency wildlife care are included on the Site’s emergency contact list and within the fauna management plan.</w:t>
            </w:r>
          </w:p>
        </w:tc>
        <w:tc>
          <w:tcPr>
            <w:tcW w:w="1701" w:type="dxa"/>
            <w:tcBorders>
              <w:left w:val="single" w:sz="4" w:space="0" w:color="auto"/>
            </w:tcBorders>
            <w:vAlign w:val="top"/>
          </w:tcPr>
          <w:p w14:paraId="5CD8FB63" w14:textId="77777777" w:rsidR="00173953" w:rsidRDefault="00173953" w:rsidP="00173953">
            <w:pPr>
              <w:pStyle w:val="TableBodyText"/>
              <w:keepNext w:val="0"/>
              <w:keepLines w:val="0"/>
              <w:widowControl w:val="0"/>
            </w:pPr>
          </w:p>
        </w:tc>
        <w:tc>
          <w:tcPr>
            <w:tcW w:w="5061" w:type="dxa"/>
            <w:vAlign w:val="top"/>
          </w:tcPr>
          <w:p w14:paraId="0B30E8FF" w14:textId="77777777" w:rsidR="00173953" w:rsidRDefault="00173953" w:rsidP="00173953">
            <w:pPr>
              <w:pStyle w:val="TableBodyText"/>
              <w:keepNext w:val="0"/>
              <w:keepLines w:val="0"/>
              <w:widowControl w:val="0"/>
            </w:pPr>
          </w:p>
        </w:tc>
      </w:tr>
      <w:tr w:rsidR="00173953" w14:paraId="48872146" w14:textId="77777777" w:rsidTr="00FC1240">
        <w:tc>
          <w:tcPr>
            <w:tcW w:w="13992" w:type="dxa"/>
            <w:gridSpan w:val="4"/>
            <w:shd w:val="clear" w:color="auto" w:fill="F2F2F2" w:themeFill="background1" w:themeFillShade="F2"/>
            <w:vAlign w:val="top"/>
          </w:tcPr>
          <w:p w14:paraId="0ACBD3C0" w14:textId="77777777" w:rsidR="00173953" w:rsidRDefault="00173953" w:rsidP="00173953">
            <w:pPr>
              <w:pStyle w:val="TableHeading"/>
              <w:keepNext w:val="0"/>
              <w:keepLines w:val="0"/>
              <w:widowControl w:val="0"/>
              <w:jc w:val="left"/>
            </w:pPr>
            <w:r>
              <w:t>Vegetation</w:t>
            </w:r>
          </w:p>
        </w:tc>
      </w:tr>
      <w:tr w:rsidR="00173953" w14:paraId="13E3CBE1"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031460F0" w14:textId="77777777" w:rsidR="00173953" w:rsidRPr="00BE0317" w:rsidRDefault="00173953" w:rsidP="00173953">
            <w:pPr>
              <w:pStyle w:val="TableBodyText"/>
            </w:pPr>
            <w:r w:rsidRPr="00BE0317">
              <w:t xml:space="preserve">Cl 10.10 </w:t>
            </w:r>
            <w:proofErr w:type="gramStart"/>
            <w:r w:rsidRPr="00BE0317">
              <w:t>&amp;  MRTS</w:t>
            </w:r>
            <w:proofErr w:type="gramEnd"/>
            <w:r w:rsidRPr="00BE0317">
              <w:t>04 Cl 7.2.2</w:t>
            </w:r>
          </w:p>
        </w:tc>
        <w:tc>
          <w:tcPr>
            <w:tcW w:w="5954" w:type="dxa"/>
            <w:tcBorders>
              <w:top w:val="single" w:sz="4" w:space="0" w:color="auto"/>
              <w:left w:val="single" w:sz="4" w:space="0" w:color="auto"/>
              <w:bottom w:val="single" w:sz="4" w:space="0" w:color="auto"/>
              <w:right w:val="single" w:sz="4" w:space="0" w:color="auto"/>
            </w:tcBorders>
            <w:vAlign w:val="top"/>
          </w:tcPr>
          <w:p w14:paraId="3FD776E2" w14:textId="77777777" w:rsidR="00173953" w:rsidRPr="00BE0317" w:rsidRDefault="00173953" w:rsidP="00173953">
            <w:pPr>
              <w:pStyle w:val="TableBodyText"/>
            </w:pPr>
            <w:r w:rsidRPr="00BE0317">
              <w:t>The EMP (M) contains documents and/or diagrams indicating the following:</w:t>
            </w:r>
          </w:p>
          <w:p w14:paraId="47F88F93" w14:textId="77777777" w:rsidR="00173953" w:rsidRPr="00BE0317" w:rsidRDefault="0021608E" w:rsidP="00173953">
            <w:pPr>
              <w:pStyle w:val="TableBodyText"/>
            </w:pPr>
            <w:sdt>
              <w:sdtPr>
                <w:rPr>
                  <w:rFonts w:eastAsia="MS Gothic"/>
                </w:rPr>
                <w:id w:val="-1008054394"/>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method of identifying significant vegetation or maps,</w:t>
            </w:r>
          </w:p>
          <w:p w14:paraId="25A8D238" w14:textId="77777777" w:rsidR="00173953" w:rsidRPr="00BE0317" w:rsidRDefault="0021608E" w:rsidP="00173953">
            <w:pPr>
              <w:pStyle w:val="TableBodyText"/>
            </w:pPr>
            <w:sdt>
              <w:sdtPr>
                <w:rPr>
                  <w:rFonts w:eastAsia="MS Gothic"/>
                </w:rPr>
                <w:id w:val="1360313003"/>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management measures and strategies to minimise areas of vegetation clearing,</w:t>
            </w:r>
          </w:p>
          <w:p w14:paraId="589583B0" w14:textId="77777777" w:rsidR="00173953" w:rsidRPr="00BE0317" w:rsidRDefault="0021608E" w:rsidP="00173953">
            <w:pPr>
              <w:pStyle w:val="TableBodyText"/>
            </w:pPr>
            <w:sdt>
              <w:sdtPr>
                <w:id w:val="-1943909231"/>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where required, environmental approval for additional clearing, and</w:t>
            </w:r>
          </w:p>
          <w:p w14:paraId="7AE9CC81" w14:textId="77777777" w:rsidR="00173953" w:rsidRPr="00BE0317" w:rsidRDefault="0021608E" w:rsidP="00173953">
            <w:pPr>
              <w:pStyle w:val="TableBodyText"/>
            </w:pPr>
            <w:sdt>
              <w:sdtPr>
                <w:id w:val="970636793"/>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restrictions to clearing in waterways (Clause 7.2.2 of MRTS04).</w:t>
            </w:r>
          </w:p>
        </w:tc>
        <w:tc>
          <w:tcPr>
            <w:tcW w:w="1701" w:type="dxa"/>
            <w:tcBorders>
              <w:left w:val="single" w:sz="4" w:space="0" w:color="auto"/>
            </w:tcBorders>
            <w:vAlign w:val="top"/>
          </w:tcPr>
          <w:p w14:paraId="76575B55" w14:textId="77777777" w:rsidR="00173953" w:rsidRDefault="00173953" w:rsidP="00173953">
            <w:pPr>
              <w:pStyle w:val="TableBodyText"/>
              <w:keepNext w:val="0"/>
              <w:keepLines w:val="0"/>
              <w:widowControl w:val="0"/>
            </w:pPr>
          </w:p>
        </w:tc>
        <w:tc>
          <w:tcPr>
            <w:tcW w:w="5061" w:type="dxa"/>
            <w:vAlign w:val="top"/>
          </w:tcPr>
          <w:p w14:paraId="1057D06E" w14:textId="77777777" w:rsidR="00173953" w:rsidRDefault="00173953" w:rsidP="00173953">
            <w:pPr>
              <w:pStyle w:val="TableBodyText"/>
              <w:keepNext w:val="0"/>
              <w:keepLines w:val="0"/>
              <w:widowControl w:val="0"/>
            </w:pPr>
          </w:p>
        </w:tc>
      </w:tr>
      <w:tr w:rsidR="00173953" w14:paraId="1E3435AA" w14:textId="77777777" w:rsidTr="00D96097">
        <w:tc>
          <w:tcPr>
            <w:tcW w:w="13992" w:type="dxa"/>
            <w:gridSpan w:val="4"/>
            <w:shd w:val="clear" w:color="auto" w:fill="F2F2F2" w:themeFill="background1" w:themeFillShade="F2"/>
            <w:vAlign w:val="top"/>
          </w:tcPr>
          <w:p w14:paraId="251127E5" w14:textId="77777777" w:rsidR="00173953" w:rsidRDefault="00173953" w:rsidP="00173953">
            <w:pPr>
              <w:pStyle w:val="TableHeading"/>
              <w:keepNext w:val="0"/>
              <w:keepLines w:val="0"/>
              <w:widowControl w:val="0"/>
              <w:jc w:val="left"/>
            </w:pPr>
            <w:r>
              <w:t>Biosecurity</w:t>
            </w:r>
          </w:p>
        </w:tc>
      </w:tr>
      <w:tr w:rsidR="00173953" w14:paraId="241E18BA"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53FB7A72" w14:textId="77777777" w:rsidR="00173953" w:rsidRPr="00BE0317" w:rsidRDefault="00173953" w:rsidP="00173953">
            <w:pPr>
              <w:pStyle w:val="TableBodyText"/>
              <w:keepNext w:val="0"/>
              <w:keepLines w:val="0"/>
              <w:widowControl w:val="0"/>
            </w:pPr>
            <w:r w:rsidRPr="00BE0317">
              <w:t xml:space="preserve">Cl 10.11 &amp; Cl 48.1 </w:t>
            </w:r>
            <w:proofErr w:type="spellStart"/>
            <w:r w:rsidRPr="00BE0317">
              <w:t>GCoC</w:t>
            </w:r>
            <w:proofErr w:type="spellEnd"/>
          </w:p>
        </w:tc>
        <w:tc>
          <w:tcPr>
            <w:tcW w:w="5954" w:type="dxa"/>
            <w:tcBorders>
              <w:top w:val="single" w:sz="4" w:space="0" w:color="auto"/>
              <w:left w:val="single" w:sz="4" w:space="0" w:color="auto"/>
              <w:bottom w:val="single" w:sz="4" w:space="0" w:color="auto"/>
              <w:right w:val="single" w:sz="4" w:space="0" w:color="auto"/>
            </w:tcBorders>
            <w:vAlign w:val="top"/>
          </w:tcPr>
          <w:p w14:paraId="71955063" w14:textId="77777777" w:rsidR="00173953" w:rsidRPr="00BE0317" w:rsidRDefault="00173953" w:rsidP="00173953">
            <w:pPr>
              <w:pStyle w:val="TableBodyText"/>
              <w:keepNext w:val="0"/>
              <w:keepLines w:val="0"/>
              <w:widowControl w:val="0"/>
            </w:pPr>
            <w:r w:rsidRPr="00BE0317">
              <w:t xml:space="preserve">The EMP (M) contains </w:t>
            </w:r>
            <w:proofErr w:type="spellStart"/>
            <w:r w:rsidRPr="00BE0317">
              <w:t>documetns</w:t>
            </w:r>
            <w:proofErr w:type="spellEnd"/>
            <w:r w:rsidRPr="00BE0317">
              <w:t xml:space="preserve"> and/or diagrams indicating the following:</w:t>
            </w:r>
          </w:p>
          <w:p w14:paraId="0839D22A" w14:textId="77777777" w:rsidR="00173953" w:rsidRPr="00BE0317" w:rsidRDefault="0021608E" w:rsidP="00173953">
            <w:pPr>
              <w:pStyle w:val="TableBodyText"/>
              <w:keepNext w:val="0"/>
              <w:keepLines w:val="0"/>
              <w:widowControl w:val="0"/>
            </w:pPr>
            <w:sdt>
              <w:sdtPr>
                <w:rPr>
                  <w:rFonts w:eastAsia="MS Gothic"/>
                </w:rPr>
                <w:id w:val="-1745480452"/>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details of biosecurity matter risks, category and respective Management Measures,</w:t>
            </w:r>
          </w:p>
          <w:p w14:paraId="2D4053D3" w14:textId="77777777" w:rsidR="00173953" w:rsidRPr="00BE0317" w:rsidRDefault="0021608E" w:rsidP="00173953">
            <w:pPr>
              <w:pStyle w:val="TableBodyText"/>
              <w:keepNext w:val="0"/>
              <w:keepLines w:val="0"/>
              <w:widowControl w:val="0"/>
            </w:pPr>
            <w:sdt>
              <w:sdtPr>
                <w:id w:val="1547261691"/>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location of applicable biosecurity management zone boundaries in relation to Work under Contract (including ancillary activities such as water source, stockpile sites, gravel sources, spoil locations),</w:t>
            </w:r>
          </w:p>
          <w:p w14:paraId="17DC92D5" w14:textId="77777777" w:rsidR="00173953" w:rsidRPr="00BE0317" w:rsidRDefault="0021608E" w:rsidP="00173953">
            <w:pPr>
              <w:pStyle w:val="TableBodyText"/>
              <w:keepNext w:val="0"/>
              <w:keepLines w:val="0"/>
              <w:widowControl w:val="0"/>
            </w:pPr>
            <w:sdt>
              <w:sdtPr>
                <w:rPr>
                  <w:rFonts w:eastAsia="MS Gothic"/>
                </w:rPr>
                <w:id w:val="694509790"/>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identification of potential movement of </w:t>
            </w:r>
            <w:r w:rsidR="00173953">
              <w:t>b</w:t>
            </w:r>
            <w:r w:rsidR="00173953" w:rsidRPr="00BE0317">
              <w:t xml:space="preserve">iosecurity </w:t>
            </w:r>
            <w:r w:rsidR="00173953">
              <w:t>m</w:t>
            </w:r>
            <w:r w:rsidR="00173953" w:rsidRPr="00BE0317">
              <w:t xml:space="preserve">atter </w:t>
            </w:r>
            <w:r w:rsidR="00173953">
              <w:t>c</w:t>
            </w:r>
            <w:r w:rsidR="00173953" w:rsidRPr="00BE0317">
              <w:t>arriers across biosecurity zone boundaries and Biosecurity Instrument Permit details pertaining to these movements,</w:t>
            </w:r>
          </w:p>
          <w:p w14:paraId="03F9AC4E" w14:textId="77777777" w:rsidR="00173953" w:rsidRPr="00BE0317" w:rsidRDefault="0021608E" w:rsidP="00173953">
            <w:pPr>
              <w:pStyle w:val="TableBodyText"/>
              <w:keepNext w:val="0"/>
              <w:keepLines w:val="0"/>
              <w:widowControl w:val="0"/>
            </w:pPr>
            <w:sdt>
              <w:sdtPr>
                <w:rPr>
                  <w:rFonts w:eastAsia="MS Gothic"/>
                </w:rPr>
                <w:id w:val="-73285264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management measures for preventing the spread of biosecurity matters within Site and out of the Site,</w:t>
            </w:r>
          </w:p>
          <w:p w14:paraId="1C53E549" w14:textId="77777777" w:rsidR="00173953" w:rsidRPr="00BE0317" w:rsidRDefault="0021608E" w:rsidP="00173953">
            <w:pPr>
              <w:pStyle w:val="TableBodyText"/>
              <w:keepNext w:val="0"/>
              <w:keepLines w:val="0"/>
              <w:widowControl w:val="0"/>
            </w:pPr>
            <w:sdt>
              <w:sdtPr>
                <w:id w:val="-1684968080"/>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measures to exclude access to known areas of biosecurity matter infestation such as flagging,</w:t>
            </w:r>
          </w:p>
          <w:p w14:paraId="598FD6CB" w14:textId="77777777" w:rsidR="00173953" w:rsidRPr="00BE0317" w:rsidRDefault="0021608E" w:rsidP="00173953">
            <w:pPr>
              <w:pStyle w:val="TableBodyText"/>
              <w:keepNext w:val="0"/>
              <w:keepLines w:val="0"/>
              <w:widowControl w:val="0"/>
            </w:pPr>
            <w:sdt>
              <w:sdtPr>
                <w:rPr>
                  <w:rFonts w:eastAsia="MS Gothic"/>
                </w:rPr>
                <w:id w:val="339904246"/>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specific monitoring procedures for biosecurity matters (method, timing, frequency, duration, parameter to be monitored, criteria/outcome measured against),</w:t>
            </w:r>
          </w:p>
          <w:p w14:paraId="7E300934" w14:textId="77777777" w:rsidR="00173953" w:rsidRPr="00BE0317" w:rsidRDefault="0021608E" w:rsidP="00173953">
            <w:pPr>
              <w:pStyle w:val="TableBodyText"/>
              <w:keepNext w:val="0"/>
              <w:keepLines w:val="0"/>
              <w:widowControl w:val="0"/>
            </w:pPr>
            <w:sdt>
              <w:sdtPr>
                <w:id w:val="-1768147244"/>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integrated pest management plan focusing on pesticide treatment schedule addressing method of control, chemicals, locations, timing of works, and</w:t>
            </w:r>
          </w:p>
          <w:p w14:paraId="13DDF978" w14:textId="77777777" w:rsidR="00173953" w:rsidRPr="00BE0317" w:rsidRDefault="0021608E" w:rsidP="00173953">
            <w:pPr>
              <w:pStyle w:val="TableBodyText"/>
              <w:keepNext w:val="0"/>
              <w:keepLines w:val="0"/>
              <w:widowControl w:val="0"/>
            </w:pPr>
            <w:sdt>
              <w:sdtPr>
                <w:id w:val="470022654"/>
                <w14:checkbox>
                  <w14:checked w14:val="0"/>
                  <w14:checkedState w14:val="2612" w14:font="MS Gothic"/>
                  <w14:uncheckedState w14:val="2610" w14:font="MS Gothic"/>
                </w14:checkbox>
              </w:sdtPr>
              <w:sdtEndPr/>
              <w:sdtContent>
                <w:r w:rsidR="00173953" w:rsidRPr="00BE0317">
                  <w:rPr>
                    <w:rFonts w:ascii="Segoe UI Symbol" w:hAnsi="Segoe UI Symbol" w:cs="Segoe UI Symbol"/>
                  </w:rPr>
                  <w:t>☐</w:t>
                </w:r>
              </w:sdtContent>
            </w:sdt>
            <w:r w:rsidR="00173953" w:rsidRPr="00BE0317">
              <w:t xml:space="preserve">  biosecurity matter control operator license.</w:t>
            </w:r>
          </w:p>
        </w:tc>
        <w:tc>
          <w:tcPr>
            <w:tcW w:w="1701" w:type="dxa"/>
            <w:tcBorders>
              <w:left w:val="single" w:sz="4" w:space="0" w:color="auto"/>
            </w:tcBorders>
            <w:vAlign w:val="top"/>
          </w:tcPr>
          <w:p w14:paraId="45B82186" w14:textId="77777777" w:rsidR="00173953" w:rsidRDefault="00173953" w:rsidP="00173953">
            <w:pPr>
              <w:pStyle w:val="TableBodyText"/>
              <w:keepNext w:val="0"/>
              <w:keepLines w:val="0"/>
              <w:widowControl w:val="0"/>
            </w:pPr>
          </w:p>
        </w:tc>
        <w:tc>
          <w:tcPr>
            <w:tcW w:w="5061" w:type="dxa"/>
            <w:vAlign w:val="top"/>
          </w:tcPr>
          <w:p w14:paraId="43EADC9C" w14:textId="77777777" w:rsidR="00173953" w:rsidRDefault="00173953" w:rsidP="00173953">
            <w:pPr>
              <w:pStyle w:val="TableBodyText"/>
              <w:keepNext w:val="0"/>
              <w:keepLines w:val="0"/>
              <w:widowControl w:val="0"/>
            </w:pPr>
          </w:p>
        </w:tc>
      </w:tr>
      <w:tr w:rsidR="00173953" w14:paraId="7C1064D8" w14:textId="77777777" w:rsidTr="00D96097">
        <w:tc>
          <w:tcPr>
            <w:tcW w:w="13992" w:type="dxa"/>
            <w:gridSpan w:val="4"/>
            <w:shd w:val="clear" w:color="auto" w:fill="F2F2F2" w:themeFill="background1" w:themeFillShade="F2"/>
            <w:vAlign w:val="top"/>
          </w:tcPr>
          <w:p w14:paraId="31A7590F" w14:textId="77777777" w:rsidR="00173953" w:rsidRDefault="00173953" w:rsidP="00173953">
            <w:pPr>
              <w:pStyle w:val="TableHeading"/>
              <w:keepNext w:val="0"/>
              <w:keepLines w:val="0"/>
              <w:widowControl w:val="0"/>
              <w:jc w:val="left"/>
            </w:pPr>
            <w:r>
              <w:t>Waste</w:t>
            </w:r>
          </w:p>
        </w:tc>
      </w:tr>
      <w:tr w:rsidR="00173953" w14:paraId="6787794C"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1BF9AEDA" w14:textId="77777777" w:rsidR="00173953" w:rsidRPr="00BE0317" w:rsidRDefault="00173953" w:rsidP="00173953">
            <w:pPr>
              <w:pStyle w:val="TableBodyText"/>
            </w:pPr>
            <w:r w:rsidRPr="00BE0317">
              <w:t>Cl 10.12.1</w:t>
            </w:r>
          </w:p>
        </w:tc>
        <w:tc>
          <w:tcPr>
            <w:tcW w:w="5954" w:type="dxa"/>
            <w:tcBorders>
              <w:top w:val="single" w:sz="4" w:space="0" w:color="auto"/>
              <w:left w:val="single" w:sz="4" w:space="0" w:color="auto"/>
              <w:bottom w:val="single" w:sz="4" w:space="0" w:color="auto"/>
              <w:right w:val="single" w:sz="4" w:space="0" w:color="auto"/>
            </w:tcBorders>
            <w:vAlign w:val="top"/>
          </w:tcPr>
          <w:p w14:paraId="54B5A8C0" w14:textId="77777777" w:rsidR="00173953" w:rsidRPr="00BE0317" w:rsidRDefault="00173953" w:rsidP="00173953">
            <w:pPr>
              <w:pStyle w:val="TableBodyText"/>
            </w:pPr>
            <w:r w:rsidRPr="00BE0317">
              <w:t>Principal's Representative to be advised where illegally dumped waste and litter is discovered during the Work under the Contract.</w:t>
            </w:r>
          </w:p>
        </w:tc>
        <w:tc>
          <w:tcPr>
            <w:tcW w:w="1701" w:type="dxa"/>
            <w:tcBorders>
              <w:left w:val="single" w:sz="4" w:space="0" w:color="auto"/>
            </w:tcBorders>
            <w:vAlign w:val="top"/>
          </w:tcPr>
          <w:p w14:paraId="5817B97F" w14:textId="77777777" w:rsidR="00173953" w:rsidRDefault="00173953" w:rsidP="00173953">
            <w:pPr>
              <w:pStyle w:val="TableBodyText"/>
              <w:keepNext w:val="0"/>
              <w:keepLines w:val="0"/>
              <w:widowControl w:val="0"/>
            </w:pPr>
          </w:p>
        </w:tc>
        <w:tc>
          <w:tcPr>
            <w:tcW w:w="5061" w:type="dxa"/>
            <w:vAlign w:val="top"/>
          </w:tcPr>
          <w:p w14:paraId="21341E9F" w14:textId="77777777" w:rsidR="00173953" w:rsidRDefault="00173953" w:rsidP="00173953">
            <w:pPr>
              <w:pStyle w:val="TableBodyText"/>
              <w:keepNext w:val="0"/>
              <w:keepLines w:val="0"/>
              <w:widowControl w:val="0"/>
            </w:pPr>
          </w:p>
        </w:tc>
      </w:tr>
      <w:tr w:rsidR="00173953" w14:paraId="7E0934FA"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53455A02" w14:textId="77777777" w:rsidR="00173953" w:rsidRPr="00BE0317" w:rsidRDefault="00173953" w:rsidP="00173953">
            <w:pPr>
              <w:pStyle w:val="TableBodyText"/>
            </w:pPr>
            <w:r w:rsidRPr="00BE0317">
              <w:t>Cl 10.12.2</w:t>
            </w:r>
          </w:p>
        </w:tc>
        <w:tc>
          <w:tcPr>
            <w:tcW w:w="5954" w:type="dxa"/>
            <w:tcBorders>
              <w:top w:val="single" w:sz="4" w:space="0" w:color="auto"/>
              <w:left w:val="single" w:sz="4" w:space="0" w:color="auto"/>
              <w:bottom w:val="single" w:sz="4" w:space="0" w:color="auto"/>
              <w:right w:val="single" w:sz="4" w:space="0" w:color="auto"/>
            </w:tcBorders>
            <w:vAlign w:val="top"/>
          </w:tcPr>
          <w:p w14:paraId="269AF32B" w14:textId="77777777" w:rsidR="00173953" w:rsidRPr="00BE0317" w:rsidRDefault="00173953" w:rsidP="00173953">
            <w:pPr>
              <w:pStyle w:val="TableBodyText"/>
            </w:pPr>
            <w:r w:rsidRPr="00BE0317">
              <w:t>The EMP(M) contains documents and/or diagrams indicating the following:</w:t>
            </w:r>
          </w:p>
          <w:p w14:paraId="216F7670" w14:textId="77777777" w:rsidR="00173953" w:rsidRPr="00BE0317" w:rsidRDefault="0021608E" w:rsidP="00173953">
            <w:pPr>
              <w:pStyle w:val="TableBodyText"/>
            </w:pPr>
            <w:sdt>
              <w:sdtPr>
                <w:rPr>
                  <w:rFonts w:eastAsia="MS Gothic"/>
                </w:rPr>
                <w:id w:val="-1572032936"/>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rPr>
                <w:i/>
              </w:rPr>
              <w:t xml:space="preserve">  </w:t>
            </w:r>
            <w:r w:rsidR="00173953" w:rsidRPr="00BE0317">
              <w:t>waste management strategies (avoidance, reuse, recycling, energy, recovery, disposal),</w:t>
            </w:r>
          </w:p>
          <w:p w14:paraId="4C1F7AE8" w14:textId="77777777" w:rsidR="00173953" w:rsidRPr="00BE0317" w:rsidRDefault="0021608E" w:rsidP="00173953">
            <w:pPr>
              <w:pStyle w:val="TableBodyText"/>
            </w:pPr>
            <w:sdt>
              <w:sdtPr>
                <w:rPr>
                  <w:rFonts w:eastAsia="MS Gothic"/>
                </w:rPr>
                <w:id w:val="643856010"/>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waste storage and containment locations,</w:t>
            </w:r>
          </w:p>
          <w:p w14:paraId="6EBAF669" w14:textId="77777777" w:rsidR="00173953" w:rsidRPr="00BE0317" w:rsidRDefault="0021608E" w:rsidP="00173953">
            <w:pPr>
              <w:pStyle w:val="TableBodyText"/>
            </w:pPr>
            <w:sdt>
              <w:sdtPr>
                <w:rPr>
                  <w:rFonts w:eastAsia="MS Gothic"/>
                </w:rPr>
                <w:id w:val="37396955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the procedure for measuring and recording Waste generated, reused recycled and disposed of under the Contract</w:t>
            </w:r>
            <w:r w:rsidR="00173953" w:rsidRPr="00BE0317">
              <w:rPr>
                <w:i/>
              </w:rPr>
              <w:t>.</w:t>
            </w:r>
          </w:p>
        </w:tc>
        <w:tc>
          <w:tcPr>
            <w:tcW w:w="1701" w:type="dxa"/>
            <w:tcBorders>
              <w:left w:val="single" w:sz="4" w:space="0" w:color="auto"/>
            </w:tcBorders>
            <w:vAlign w:val="top"/>
          </w:tcPr>
          <w:p w14:paraId="158C1C13" w14:textId="77777777" w:rsidR="00173953" w:rsidRDefault="00173953" w:rsidP="00173953">
            <w:pPr>
              <w:pStyle w:val="TableBodyText"/>
              <w:widowControl w:val="0"/>
            </w:pPr>
          </w:p>
        </w:tc>
        <w:tc>
          <w:tcPr>
            <w:tcW w:w="5061" w:type="dxa"/>
            <w:vAlign w:val="top"/>
          </w:tcPr>
          <w:p w14:paraId="3B1DB72E" w14:textId="77777777" w:rsidR="00173953" w:rsidRDefault="00173953" w:rsidP="00173953">
            <w:pPr>
              <w:pStyle w:val="TableBodyText"/>
              <w:widowControl w:val="0"/>
            </w:pPr>
          </w:p>
        </w:tc>
      </w:tr>
      <w:tr w:rsidR="00173953" w14:paraId="04FB9A54" w14:textId="77777777" w:rsidTr="00D96097">
        <w:tc>
          <w:tcPr>
            <w:tcW w:w="13992" w:type="dxa"/>
            <w:gridSpan w:val="4"/>
            <w:shd w:val="clear" w:color="auto" w:fill="F2F2F2" w:themeFill="background1" w:themeFillShade="F2"/>
            <w:vAlign w:val="top"/>
          </w:tcPr>
          <w:p w14:paraId="42424FC9" w14:textId="77777777" w:rsidR="00173953" w:rsidRDefault="00173953" w:rsidP="00173953">
            <w:pPr>
              <w:pStyle w:val="TableHeading"/>
              <w:keepNext w:val="0"/>
              <w:keepLines w:val="0"/>
              <w:widowControl w:val="0"/>
              <w:jc w:val="left"/>
            </w:pPr>
            <w:r>
              <w:t>Chemicals and Fuels including Storage of Precoated Aggregate</w:t>
            </w:r>
          </w:p>
        </w:tc>
      </w:tr>
      <w:tr w:rsidR="00173953" w14:paraId="218504FF"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435C46DB" w14:textId="77777777" w:rsidR="00173953" w:rsidRPr="00BE0317" w:rsidRDefault="00173953" w:rsidP="00173953">
            <w:pPr>
              <w:pStyle w:val="TableBodyText"/>
              <w:keepNext w:val="0"/>
              <w:keepLines w:val="0"/>
              <w:widowControl w:val="0"/>
            </w:pPr>
            <w:r w:rsidRPr="00BE0317">
              <w:t>Cl 10.13</w:t>
            </w:r>
          </w:p>
        </w:tc>
        <w:tc>
          <w:tcPr>
            <w:tcW w:w="5954" w:type="dxa"/>
            <w:tcBorders>
              <w:top w:val="single" w:sz="4" w:space="0" w:color="auto"/>
              <w:left w:val="single" w:sz="4" w:space="0" w:color="auto"/>
              <w:bottom w:val="single" w:sz="4" w:space="0" w:color="auto"/>
              <w:right w:val="single" w:sz="4" w:space="0" w:color="auto"/>
            </w:tcBorders>
            <w:vAlign w:val="top"/>
          </w:tcPr>
          <w:p w14:paraId="46171E31" w14:textId="77777777" w:rsidR="00173953" w:rsidRPr="00BE0317" w:rsidRDefault="00173953" w:rsidP="00173953">
            <w:pPr>
              <w:pStyle w:val="TableBodyText"/>
              <w:keepNext w:val="0"/>
              <w:keepLines w:val="0"/>
              <w:widowControl w:val="0"/>
            </w:pPr>
            <w:r w:rsidRPr="00BE0317">
              <w:t>The EMP (M) contains document/s and diagrams indicating:</w:t>
            </w:r>
          </w:p>
          <w:p w14:paraId="7FEE2772" w14:textId="77777777" w:rsidR="00173953" w:rsidRPr="00BE0317" w:rsidRDefault="0021608E" w:rsidP="00173953">
            <w:pPr>
              <w:pStyle w:val="TableBodyText"/>
              <w:keepNext w:val="0"/>
              <w:keepLines w:val="0"/>
              <w:widowControl w:val="0"/>
            </w:pPr>
            <w:sdt>
              <w:sdtPr>
                <w:id w:val="-15453630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chemical and fuels stored on Site in volumes greater than 250 L, the maximum quantity to be stored at any one time, storage location, management and containment practices for storage,</w:t>
            </w:r>
          </w:p>
          <w:p w14:paraId="6E6C44F6" w14:textId="77777777" w:rsidR="00173953" w:rsidRPr="00BE0317" w:rsidRDefault="0021608E" w:rsidP="00173953">
            <w:pPr>
              <w:pStyle w:val="TableBodyText"/>
              <w:widowControl w:val="0"/>
            </w:pPr>
            <w:sdt>
              <w:sdtPr>
                <w:id w:val="81375483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type, location, size of spill response equipment stored on Site,</w:t>
            </w:r>
          </w:p>
          <w:p w14:paraId="4A9E77A5" w14:textId="77777777" w:rsidR="00173953" w:rsidRPr="00BE0317" w:rsidRDefault="0021608E" w:rsidP="00173953">
            <w:pPr>
              <w:pStyle w:val="TableBodyText"/>
              <w:widowControl w:val="0"/>
            </w:pPr>
            <w:sdt>
              <w:sdtPr>
                <w:id w:val="-1312011821"/>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management measures for avoiding contamination or discharge to land or water from fuels and chemicals and brief risk-based justification,</w:t>
            </w:r>
          </w:p>
          <w:p w14:paraId="3C60CC88" w14:textId="77777777" w:rsidR="00173953" w:rsidRPr="00BE0317" w:rsidRDefault="0021608E" w:rsidP="00173953">
            <w:pPr>
              <w:pStyle w:val="TableBodyText"/>
              <w:widowControl w:val="0"/>
            </w:pPr>
            <w:sdt>
              <w:sdtPr>
                <w:id w:val="-1414388997"/>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details of any approvals held in relation to fuel </w:t>
            </w:r>
            <w:proofErr w:type="gramStart"/>
            <w:r w:rsidR="00173953" w:rsidRPr="00BE0317">
              <w:t>an</w:t>
            </w:r>
            <w:proofErr w:type="gramEnd"/>
            <w:r w:rsidR="00173953" w:rsidRPr="00BE0317">
              <w:t xml:space="preserve"> chemical storage use, and</w:t>
            </w:r>
          </w:p>
          <w:p w14:paraId="68936435" w14:textId="77777777" w:rsidR="00173953" w:rsidRPr="00BE0317" w:rsidRDefault="0021608E" w:rsidP="00173953">
            <w:pPr>
              <w:pStyle w:val="TableBodyText"/>
              <w:keepNext w:val="0"/>
              <w:keepLines w:val="0"/>
              <w:widowControl w:val="0"/>
            </w:pPr>
            <w:sdt>
              <w:sdtPr>
                <w:id w:val="-177647072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contingency plan in the event of a contamination or discharge.</w:t>
            </w:r>
          </w:p>
          <w:p w14:paraId="7978272F" w14:textId="77777777" w:rsidR="00173953" w:rsidRPr="00BE0317" w:rsidRDefault="00173953" w:rsidP="00173953">
            <w:pPr>
              <w:pStyle w:val="TableBodyText"/>
              <w:keepNext w:val="0"/>
              <w:keepLines w:val="0"/>
              <w:widowControl w:val="0"/>
            </w:pPr>
            <w:r w:rsidRPr="00BE0317">
              <w:t>The EMP (M) contains provisions for:</w:t>
            </w:r>
          </w:p>
          <w:p w14:paraId="11841F6D" w14:textId="77777777" w:rsidR="00173953" w:rsidRPr="00BE0317" w:rsidRDefault="0021608E" w:rsidP="00173953">
            <w:pPr>
              <w:pStyle w:val="TableBodyText"/>
              <w:keepNext w:val="0"/>
              <w:keepLines w:val="0"/>
              <w:widowControl w:val="0"/>
            </w:pPr>
            <w:sdt>
              <w:sdtPr>
                <w:rPr>
                  <w:rFonts w:eastAsia="MS Gothic"/>
                </w:rPr>
                <w:id w:val="221579101"/>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refuelling machinery,</w:t>
            </w:r>
          </w:p>
          <w:p w14:paraId="14B65B10" w14:textId="77777777" w:rsidR="00173953" w:rsidRPr="00BE0317" w:rsidRDefault="0021608E" w:rsidP="00173953">
            <w:pPr>
              <w:pStyle w:val="TableBodyText"/>
              <w:keepNext w:val="0"/>
              <w:keepLines w:val="0"/>
              <w:widowControl w:val="0"/>
            </w:pPr>
            <w:sdt>
              <w:sdtPr>
                <w:rPr>
                  <w:rFonts w:eastAsia="MS Gothic"/>
                </w:rPr>
                <w:id w:val="623970076"/>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machinery maintenance,</w:t>
            </w:r>
          </w:p>
          <w:p w14:paraId="32D02CB6" w14:textId="77777777" w:rsidR="00173953" w:rsidRPr="00BE0317" w:rsidRDefault="0021608E" w:rsidP="00173953">
            <w:pPr>
              <w:pStyle w:val="TableBodyText"/>
              <w:keepNext w:val="0"/>
              <w:keepLines w:val="0"/>
              <w:widowControl w:val="0"/>
            </w:pPr>
            <w:sdt>
              <w:sdtPr>
                <w:rPr>
                  <w:rFonts w:eastAsia="MS Gothic"/>
                </w:rPr>
                <w:id w:val="147026307"/>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management measures to capture and contain oils, fuels, hydraulic and other fluids,</w:t>
            </w:r>
          </w:p>
          <w:p w14:paraId="775008EC" w14:textId="77777777" w:rsidR="00173953" w:rsidRPr="00BE0317" w:rsidRDefault="0021608E" w:rsidP="00173953">
            <w:pPr>
              <w:pStyle w:val="TableBodyText"/>
              <w:keepNext w:val="0"/>
              <w:keepLines w:val="0"/>
              <w:widowControl w:val="0"/>
            </w:pPr>
            <w:sdt>
              <w:sdtPr>
                <w:rPr>
                  <w:rFonts w:eastAsia="MS Gothic"/>
                </w:rPr>
                <w:id w:val="397792688"/>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surface coating treatments,</w:t>
            </w:r>
          </w:p>
          <w:p w14:paraId="54733886" w14:textId="77777777" w:rsidR="00173953" w:rsidRPr="00BE0317" w:rsidRDefault="0021608E" w:rsidP="00173953">
            <w:pPr>
              <w:pStyle w:val="TableBodyText"/>
              <w:keepNext w:val="0"/>
              <w:keepLines w:val="0"/>
              <w:widowControl w:val="0"/>
            </w:pPr>
            <w:sdt>
              <w:sdtPr>
                <w:rPr>
                  <w:rFonts w:eastAsia="MS Gothic"/>
                </w:rPr>
                <w:id w:val="859862328"/>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approvals for pre-coating of aggregates conducted on Site.</w:t>
            </w:r>
          </w:p>
        </w:tc>
        <w:tc>
          <w:tcPr>
            <w:tcW w:w="1701" w:type="dxa"/>
            <w:tcBorders>
              <w:left w:val="single" w:sz="4" w:space="0" w:color="auto"/>
            </w:tcBorders>
            <w:vAlign w:val="top"/>
          </w:tcPr>
          <w:p w14:paraId="634C5102" w14:textId="77777777" w:rsidR="00173953" w:rsidRDefault="00173953" w:rsidP="00173953">
            <w:pPr>
              <w:pStyle w:val="TableBodyText"/>
              <w:keepNext w:val="0"/>
              <w:keepLines w:val="0"/>
              <w:widowControl w:val="0"/>
            </w:pPr>
          </w:p>
        </w:tc>
        <w:tc>
          <w:tcPr>
            <w:tcW w:w="5061" w:type="dxa"/>
            <w:vAlign w:val="top"/>
          </w:tcPr>
          <w:p w14:paraId="01CC9BE3" w14:textId="77777777" w:rsidR="00173953" w:rsidRDefault="00173953" w:rsidP="00173953">
            <w:pPr>
              <w:pStyle w:val="TableBodyText"/>
              <w:keepNext w:val="0"/>
              <w:keepLines w:val="0"/>
              <w:widowControl w:val="0"/>
            </w:pPr>
          </w:p>
        </w:tc>
      </w:tr>
      <w:tr w:rsidR="00173953" w14:paraId="0D0F42F2" w14:textId="77777777" w:rsidTr="00DB3E5E">
        <w:tc>
          <w:tcPr>
            <w:tcW w:w="13992" w:type="dxa"/>
            <w:gridSpan w:val="4"/>
            <w:shd w:val="clear" w:color="auto" w:fill="F2F2F2" w:themeFill="background1" w:themeFillShade="F2"/>
            <w:vAlign w:val="top"/>
          </w:tcPr>
          <w:p w14:paraId="071D6097" w14:textId="77777777" w:rsidR="00173953" w:rsidRDefault="00173953" w:rsidP="00173953">
            <w:pPr>
              <w:pStyle w:val="TableHeading"/>
              <w:keepNext w:val="0"/>
              <w:keepLines w:val="0"/>
              <w:widowControl w:val="0"/>
              <w:jc w:val="left"/>
            </w:pPr>
            <w:r>
              <w:t>Sourcing of Construction Material (Non-commercial and non-portable sources)</w:t>
            </w:r>
          </w:p>
        </w:tc>
      </w:tr>
      <w:tr w:rsidR="00173953" w14:paraId="7E97304B" w14:textId="77777777" w:rsidTr="00173953">
        <w:tc>
          <w:tcPr>
            <w:tcW w:w="1276" w:type="dxa"/>
            <w:tcBorders>
              <w:top w:val="single" w:sz="4" w:space="0" w:color="auto"/>
              <w:left w:val="single" w:sz="4" w:space="0" w:color="auto"/>
              <w:bottom w:val="single" w:sz="4" w:space="0" w:color="auto"/>
              <w:right w:val="single" w:sz="4" w:space="0" w:color="auto"/>
            </w:tcBorders>
            <w:vAlign w:val="top"/>
          </w:tcPr>
          <w:p w14:paraId="1D87F956" w14:textId="77777777" w:rsidR="00173953" w:rsidRPr="00BE0317" w:rsidRDefault="00173953" w:rsidP="00173953">
            <w:pPr>
              <w:pStyle w:val="TableBodyText"/>
              <w:keepNext w:val="0"/>
              <w:keepLines w:val="0"/>
              <w:widowControl w:val="0"/>
            </w:pPr>
            <w:r w:rsidRPr="00BE0317">
              <w:t>Cl 10.14</w:t>
            </w:r>
          </w:p>
        </w:tc>
        <w:tc>
          <w:tcPr>
            <w:tcW w:w="5954" w:type="dxa"/>
            <w:tcBorders>
              <w:top w:val="single" w:sz="4" w:space="0" w:color="auto"/>
              <w:left w:val="single" w:sz="4" w:space="0" w:color="auto"/>
              <w:bottom w:val="single" w:sz="4" w:space="0" w:color="auto"/>
              <w:right w:val="single" w:sz="4" w:space="0" w:color="auto"/>
            </w:tcBorders>
            <w:vAlign w:val="top"/>
          </w:tcPr>
          <w:p w14:paraId="04750D4C" w14:textId="77777777" w:rsidR="00173953" w:rsidRPr="00BE0317" w:rsidRDefault="00173953" w:rsidP="00173953">
            <w:pPr>
              <w:pStyle w:val="TableBodyText"/>
              <w:keepNext w:val="0"/>
              <w:keepLines w:val="0"/>
              <w:widowControl w:val="0"/>
            </w:pPr>
            <w:r w:rsidRPr="00BE0317">
              <w:t>The EMP (M) contains provisions for:</w:t>
            </w:r>
          </w:p>
          <w:p w14:paraId="198BC0CD" w14:textId="77777777" w:rsidR="00173953" w:rsidRPr="00BE0317" w:rsidRDefault="00173953" w:rsidP="00173953">
            <w:pPr>
              <w:pStyle w:val="TableBodyText"/>
              <w:keepNext w:val="0"/>
              <w:keepLines w:val="0"/>
              <w:widowControl w:val="0"/>
              <w:rPr>
                <w:b/>
              </w:rPr>
            </w:pPr>
            <w:r w:rsidRPr="00BE0317">
              <w:rPr>
                <w:b/>
              </w:rPr>
              <w:t>Water Sourcing</w:t>
            </w:r>
          </w:p>
          <w:p w14:paraId="2170480C" w14:textId="77777777" w:rsidR="00173953" w:rsidRPr="00BE0317" w:rsidRDefault="0021608E" w:rsidP="00173953">
            <w:pPr>
              <w:pStyle w:val="TableBodyText"/>
              <w:keepNext w:val="0"/>
              <w:keepLines w:val="0"/>
              <w:widowControl w:val="0"/>
            </w:pPr>
            <w:sdt>
              <w:sdtPr>
                <w:id w:val="1433016272"/>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key water consumption activities under the Contract</w:t>
            </w:r>
          </w:p>
          <w:p w14:paraId="6B88CA73" w14:textId="77777777" w:rsidR="00173953" w:rsidRPr="00BE0317" w:rsidRDefault="0021608E" w:rsidP="00173953">
            <w:pPr>
              <w:pStyle w:val="TableBodyText"/>
              <w:keepNext w:val="0"/>
              <w:keepLines w:val="0"/>
              <w:widowControl w:val="0"/>
            </w:pPr>
            <w:sdt>
              <w:sdtPr>
                <w:id w:val="212387376"/>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the estimated volumes of water</w:t>
            </w:r>
          </w:p>
          <w:p w14:paraId="79CB92AA" w14:textId="77777777" w:rsidR="00173953" w:rsidRPr="00BE0317" w:rsidRDefault="0021608E" w:rsidP="00173953">
            <w:pPr>
              <w:pStyle w:val="TableBodyText"/>
              <w:keepNext w:val="0"/>
              <w:keepLines w:val="0"/>
              <w:widowControl w:val="0"/>
            </w:pPr>
            <w:sdt>
              <w:sdtPr>
                <w:id w:val="1666908822"/>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the identified water source/s and proposed volume of take</w:t>
            </w:r>
          </w:p>
          <w:p w14:paraId="11C66B63" w14:textId="77777777" w:rsidR="00173953" w:rsidRPr="00BE0317" w:rsidRDefault="0021608E" w:rsidP="00173953">
            <w:pPr>
              <w:pStyle w:val="TableBodyText"/>
              <w:keepNext w:val="0"/>
              <w:keepLines w:val="0"/>
              <w:widowControl w:val="0"/>
            </w:pPr>
            <w:sdt>
              <w:sdtPr>
                <w:id w:val="-85912817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legislative requirements and applicable conditions for take of water and whether notification to other users has been undertaken</w:t>
            </w:r>
          </w:p>
          <w:p w14:paraId="04127089" w14:textId="77777777" w:rsidR="00173953" w:rsidRPr="00BE0317" w:rsidRDefault="0021608E" w:rsidP="00173953">
            <w:pPr>
              <w:pStyle w:val="TableBodyText"/>
              <w:keepNext w:val="0"/>
              <w:keepLines w:val="0"/>
              <w:widowControl w:val="0"/>
            </w:pPr>
            <w:sdt>
              <w:sdtPr>
                <w:id w:val="695115186"/>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water efficiency strategies to be utilised under the Contract, and</w:t>
            </w:r>
          </w:p>
          <w:p w14:paraId="5273FAC1" w14:textId="77777777" w:rsidR="00173953" w:rsidRPr="00BE0317" w:rsidRDefault="0021608E" w:rsidP="00173953">
            <w:pPr>
              <w:pStyle w:val="TableBodyText"/>
              <w:keepNext w:val="0"/>
              <w:keepLines w:val="0"/>
              <w:widowControl w:val="0"/>
            </w:pPr>
            <w:sdt>
              <w:sdtPr>
                <w:id w:val="-81300598"/>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procedures for monitoring against requirements of any applicable </w:t>
            </w:r>
            <w:r w:rsidR="00173953">
              <w:t>e</w:t>
            </w:r>
            <w:r w:rsidR="00173953" w:rsidRPr="00BE0317">
              <w:t xml:space="preserve">nvironmental </w:t>
            </w:r>
            <w:r w:rsidR="00173953">
              <w:t>a</w:t>
            </w:r>
            <w:r w:rsidR="00173953" w:rsidRPr="00BE0317">
              <w:t>pproval (exemption) (</w:t>
            </w:r>
            <w:proofErr w:type="spellStart"/>
            <w:r w:rsidR="00173953">
              <w:t>i.e</w:t>
            </w:r>
            <w:proofErr w:type="spellEnd"/>
            <w:r w:rsidR="00173953" w:rsidRPr="00BE0317">
              <w:t xml:space="preserve"> capacity level of non-flowing source).</w:t>
            </w:r>
          </w:p>
          <w:p w14:paraId="4667A6CA" w14:textId="77777777" w:rsidR="00173953" w:rsidRPr="00BE0317" w:rsidRDefault="00173953" w:rsidP="00173953">
            <w:pPr>
              <w:pStyle w:val="TableBodyText"/>
              <w:widowControl w:val="0"/>
              <w:rPr>
                <w:b/>
              </w:rPr>
            </w:pPr>
            <w:r w:rsidRPr="00BE0317">
              <w:rPr>
                <w:b/>
              </w:rPr>
              <w:lastRenderedPageBreak/>
              <w:t>Quarry Material</w:t>
            </w:r>
          </w:p>
          <w:p w14:paraId="117663B6" w14:textId="77777777" w:rsidR="00173953" w:rsidRPr="00BE0317" w:rsidRDefault="0021608E" w:rsidP="00173953">
            <w:pPr>
              <w:pStyle w:val="TableBodyText"/>
              <w:widowControl w:val="0"/>
            </w:pPr>
            <w:sdt>
              <w:sdtPr>
                <w:id w:val="185145765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identified gravel, fill or sand sources,</w:t>
            </w:r>
          </w:p>
          <w:p w14:paraId="05DBE5CF" w14:textId="77777777" w:rsidR="00173953" w:rsidRPr="00BE0317" w:rsidRDefault="0021608E" w:rsidP="00173953">
            <w:pPr>
              <w:pStyle w:val="TableBodyText"/>
              <w:keepNext w:val="0"/>
              <w:keepLines w:val="0"/>
              <w:widowControl w:val="0"/>
            </w:pPr>
            <w:sdt>
              <w:sdtPr>
                <w:id w:val="1308591260"/>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distance to Site,</w:t>
            </w:r>
          </w:p>
          <w:p w14:paraId="600BDB83" w14:textId="77777777" w:rsidR="00173953" w:rsidRPr="00BE0317" w:rsidRDefault="0021608E" w:rsidP="00173953">
            <w:pPr>
              <w:pStyle w:val="TableBodyText"/>
              <w:keepNext w:val="0"/>
              <w:keepLines w:val="0"/>
              <w:widowControl w:val="0"/>
            </w:pPr>
            <w:sdt>
              <w:sdtPr>
                <w:id w:val="932712677"/>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access track and stockpile area requirements,</w:t>
            </w:r>
          </w:p>
          <w:p w14:paraId="41F11BF6" w14:textId="77777777" w:rsidR="00173953" w:rsidRPr="00BE0317" w:rsidRDefault="0021608E" w:rsidP="00173953">
            <w:pPr>
              <w:pStyle w:val="TableBodyText"/>
              <w:keepNext w:val="0"/>
              <w:keepLines w:val="0"/>
              <w:widowControl w:val="0"/>
            </w:pPr>
            <w:sdt>
              <w:sdtPr>
                <w:id w:val="-80115195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associated approvals and conditions,</w:t>
            </w:r>
          </w:p>
          <w:p w14:paraId="59CA915F" w14:textId="77777777" w:rsidR="00173953" w:rsidRPr="00BE0317" w:rsidRDefault="0021608E" w:rsidP="00173953">
            <w:pPr>
              <w:pStyle w:val="TableBodyText"/>
              <w:keepNext w:val="0"/>
              <w:keepLines w:val="0"/>
              <w:widowControl w:val="0"/>
            </w:pPr>
            <w:sdt>
              <w:sdtPr>
                <w:id w:val="2075236451"/>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proposed volume of take,</w:t>
            </w:r>
          </w:p>
          <w:p w14:paraId="4B37BDA8" w14:textId="77777777" w:rsidR="00173953" w:rsidRPr="00BE0317" w:rsidRDefault="0021608E" w:rsidP="00173953">
            <w:pPr>
              <w:pStyle w:val="TableBodyText"/>
              <w:keepNext w:val="0"/>
              <w:keepLines w:val="0"/>
              <w:widowControl w:val="0"/>
            </w:pPr>
            <w:sdt>
              <w:sdtPr>
                <w:id w:val="84182689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progressive rehabilitation processes, and,</w:t>
            </w:r>
          </w:p>
          <w:p w14:paraId="3473AF32" w14:textId="77777777" w:rsidR="00173953" w:rsidRPr="00BE0317" w:rsidRDefault="0021608E" w:rsidP="00173953">
            <w:pPr>
              <w:pStyle w:val="TableBodyText"/>
              <w:keepNext w:val="0"/>
              <w:keepLines w:val="0"/>
              <w:widowControl w:val="0"/>
            </w:pPr>
            <w:sdt>
              <w:sdtPr>
                <w:id w:val="1154883549"/>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activity based management plan for extraction sites.</w:t>
            </w:r>
          </w:p>
          <w:p w14:paraId="5514F0D9" w14:textId="77777777" w:rsidR="00173953" w:rsidRPr="00BE0317" w:rsidRDefault="00173953" w:rsidP="00173953">
            <w:pPr>
              <w:pStyle w:val="TableBodyText"/>
              <w:keepNext w:val="0"/>
              <w:keepLines w:val="0"/>
              <w:widowControl w:val="0"/>
              <w:rPr>
                <w:b/>
              </w:rPr>
            </w:pPr>
            <w:r w:rsidRPr="00BE0317">
              <w:rPr>
                <w:b/>
              </w:rPr>
              <w:t>Other</w:t>
            </w:r>
          </w:p>
          <w:p w14:paraId="1F688CF3" w14:textId="77777777" w:rsidR="00173953" w:rsidRPr="00BE0317" w:rsidRDefault="0021608E" w:rsidP="00173953">
            <w:pPr>
              <w:pStyle w:val="TableBodyText"/>
              <w:keepNext w:val="0"/>
              <w:keepLines w:val="0"/>
              <w:widowControl w:val="0"/>
            </w:pPr>
            <w:sdt>
              <w:sdtPr>
                <w:id w:val="-148602025"/>
                <w14:checkbox>
                  <w14:checked w14:val="0"/>
                  <w14:checkedState w14:val="2612" w14:font="MS Gothic"/>
                  <w14:uncheckedState w14:val="2610" w14:font="MS Gothic"/>
                </w14:checkbox>
              </w:sdtPr>
              <w:sdtEndPr/>
              <w:sdtContent>
                <w:r w:rsidR="00173953" w:rsidRPr="00BE0317">
                  <w:rPr>
                    <w:rFonts w:ascii="Segoe UI Symbol" w:eastAsia="MS Gothic" w:hAnsi="Segoe UI Symbol" w:cs="Segoe UI Symbol"/>
                  </w:rPr>
                  <w:t>☐</w:t>
                </w:r>
              </w:sdtContent>
            </w:sdt>
            <w:r w:rsidR="00173953" w:rsidRPr="00BE0317">
              <w:t xml:space="preserve">  Other construction material requirements identified sources and management measures.</w:t>
            </w:r>
          </w:p>
        </w:tc>
        <w:tc>
          <w:tcPr>
            <w:tcW w:w="1701" w:type="dxa"/>
            <w:tcBorders>
              <w:left w:val="single" w:sz="4" w:space="0" w:color="auto"/>
            </w:tcBorders>
            <w:vAlign w:val="top"/>
          </w:tcPr>
          <w:p w14:paraId="08F41122" w14:textId="77777777" w:rsidR="00173953" w:rsidRDefault="00173953" w:rsidP="00173953">
            <w:pPr>
              <w:pStyle w:val="TableBodyText"/>
              <w:keepNext w:val="0"/>
              <w:keepLines w:val="0"/>
              <w:widowControl w:val="0"/>
            </w:pPr>
          </w:p>
        </w:tc>
        <w:tc>
          <w:tcPr>
            <w:tcW w:w="5061" w:type="dxa"/>
            <w:vAlign w:val="top"/>
          </w:tcPr>
          <w:p w14:paraId="16420A70" w14:textId="77777777" w:rsidR="00173953" w:rsidRDefault="00173953" w:rsidP="00173953">
            <w:pPr>
              <w:pStyle w:val="TableBodyText"/>
              <w:keepNext w:val="0"/>
              <w:keepLines w:val="0"/>
              <w:widowControl w:val="0"/>
            </w:pPr>
          </w:p>
        </w:tc>
      </w:tr>
    </w:tbl>
    <w:p w14:paraId="0924A3A3" w14:textId="77777777" w:rsidR="00336887" w:rsidRDefault="00336887"/>
    <w:tbl>
      <w:tblPr>
        <w:tblStyle w:val="TableGrid"/>
        <w:tblW w:w="0" w:type="auto"/>
        <w:tblInd w:w="-5" w:type="dxa"/>
        <w:tblLayout w:type="fixed"/>
        <w:tblLook w:val="04A0" w:firstRow="1" w:lastRow="0" w:firstColumn="1" w:lastColumn="0" w:noHBand="0" w:noVBand="1"/>
      </w:tblPr>
      <w:tblGrid>
        <w:gridCol w:w="1276"/>
        <w:gridCol w:w="12716"/>
      </w:tblGrid>
      <w:tr w:rsidR="00336887" w14:paraId="5173737D" w14:textId="77777777" w:rsidTr="00336887">
        <w:tc>
          <w:tcPr>
            <w:tcW w:w="13992" w:type="dxa"/>
            <w:gridSpan w:val="2"/>
            <w:shd w:val="clear" w:color="auto" w:fill="F2F2F2" w:themeFill="background1" w:themeFillShade="F2"/>
            <w:vAlign w:val="top"/>
          </w:tcPr>
          <w:p w14:paraId="5DA65764" w14:textId="7344D902" w:rsidR="00336887" w:rsidRDefault="00A6716C" w:rsidP="00336887">
            <w:pPr>
              <w:pStyle w:val="TableHeading"/>
              <w:jc w:val="left"/>
            </w:pPr>
            <w:r>
              <w:t>Review Decision</w:t>
            </w:r>
          </w:p>
        </w:tc>
      </w:tr>
      <w:tr w:rsidR="00A6716C" w14:paraId="26F367EA" w14:textId="77777777" w:rsidTr="00A6716C">
        <w:tc>
          <w:tcPr>
            <w:tcW w:w="1276" w:type="dxa"/>
            <w:shd w:val="clear" w:color="auto" w:fill="F2F2F2" w:themeFill="background1" w:themeFillShade="F2"/>
            <w:vAlign w:val="top"/>
          </w:tcPr>
          <w:p w14:paraId="55226C48" w14:textId="49C66971" w:rsidR="00A6716C" w:rsidRPr="00417B48" w:rsidRDefault="00A6716C" w:rsidP="00A6716C">
            <w:pPr>
              <w:pStyle w:val="TableHeading"/>
              <w:jc w:val="left"/>
            </w:pPr>
            <w:r>
              <w:t>Suitability</w:t>
            </w:r>
          </w:p>
        </w:tc>
        <w:tc>
          <w:tcPr>
            <w:tcW w:w="12716" w:type="dxa"/>
            <w:vAlign w:val="top"/>
          </w:tcPr>
          <w:p w14:paraId="4915546D" w14:textId="2E18B923" w:rsidR="00A6716C" w:rsidRPr="000209EC" w:rsidRDefault="0021608E" w:rsidP="00A6716C">
            <w:pPr>
              <w:pStyle w:val="BodyText"/>
              <w:keepNext w:val="0"/>
              <w:keepLines w:val="0"/>
              <w:ind w:left="39"/>
              <w:rPr>
                <w:szCs w:val="20"/>
              </w:rPr>
            </w:pPr>
            <w:sdt>
              <w:sdtPr>
                <w:rPr>
                  <w:szCs w:val="20"/>
                </w:rPr>
                <w:id w:val="-2093002317"/>
                <w14:checkbox>
                  <w14:checked w14:val="0"/>
                  <w14:checkedState w14:val="2612" w14:font="MS Gothic"/>
                  <w14:uncheckedState w14:val="2610" w14:font="MS Gothic"/>
                </w14:checkbox>
              </w:sdtPr>
              <w:sdtEndPr/>
              <w:sdtContent>
                <w:r w:rsidR="00A6716C">
                  <w:rPr>
                    <w:rFonts w:ascii="MS Gothic" w:eastAsia="MS Gothic" w:hAnsi="MS Gothic" w:hint="eastAsia"/>
                    <w:szCs w:val="20"/>
                  </w:rPr>
                  <w:t>☐</w:t>
                </w:r>
              </w:sdtContent>
            </w:sdt>
            <w:r w:rsidR="00A6716C" w:rsidRPr="000209EC">
              <w:rPr>
                <w:szCs w:val="20"/>
              </w:rPr>
              <w:t xml:space="preserve">  The EMP(M) is considered conformant with the RAMC and MRS51 and accepted by the Administrator. </w:t>
            </w:r>
          </w:p>
          <w:p w14:paraId="2276143F" w14:textId="5254A294" w:rsidR="00A6716C" w:rsidRDefault="0021608E" w:rsidP="00A6716C">
            <w:pPr>
              <w:pStyle w:val="TableBodyText"/>
              <w:keepNext w:val="0"/>
              <w:keepLines w:val="0"/>
              <w:widowControl w:val="0"/>
              <w:ind w:left="39"/>
            </w:pPr>
            <w:sdt>
              <w:sdtPr>
                <w:id w:val="1291631412"/>
                <w14:checkbox>
                  <w14:checked w14:val="0"/>
                  <w14:checkedState w14:val="2612" w14:font="MS Gothic"/>
                  <w14:uncheckedState w14:val="2610" w14:font="MS Gothic"/>
                </w14:checkbox>
              </w:sdtPr>
              <w:sdtEndPr/>
              <w:sdtContent>
                <w:r w:rsidR="00A6716C" w:rsidRPr="000209EC">
                  <w:rPr>
                    <w:rFonts w:ascii="Segoe UI Symbol" w:eastAsia="MS Gothic" w:hAnsi="Segoe UI Symbol" w:cs="Segoe UI Symbol"/>
                  </w:rPr>
                  <w:t>☐</w:t>
                </w:r>
              </w:sdtContent>
            </w:sdt>
            <w:r w:rsidR="00A6716C" w:rsidRPr="000209EC">
              <w:t xml:space="preserve">  The EMP is not considered conformant with the conditions of the RAMC and/or MRS51. Works may not commence until the EMP is revised, resubmitted and accepted by the Administrator.</w:t>
            </w:r>
          </w:p>
        </w:tc>
      </w:tr>
      <w:tr w:rsidR="00A6716C" w14:paraId="07284DAB" w14:textId="77777777" w:rsidTr="00A6716C">
        <w:trPr>
          <w:trHeight w:val="3202"/>
        </w:trPr>
        <w:tc>
          <w:tcPr>
            <w:tcW w:w="1276" w:type="dxa"/>
            <w:shd w:val="clear" w:color="auto" w:fill="F2F2F2" w:themeFill="background1" w:themeFillShade="F2"/>
            <w:vAlign w:val="top"/>
          </w:tcPr>
          <w:p w14:paraId="62E64A3B" w14:textId="0CC0EF83" w:rsidR="00A6716C" w:rsidRPr="00417B48" w:rsidRDefault="00A6716C" w:rsidP="00A6716C">
            <w:pPr>
              <w:pStyle w:val="TableHeading"/>
              <w:jc w:val="left"/>
            </w:pPr>
            <w:r>
              <w:t>Summary</w:t>
            </w:r>
          </w:p>
        </w:tc>
        <w:tc>
          <w:tcPr>
            <w:tcW w:w="12716" w:type="dxa"/>
            <w:vAlign w:val="top"/>
          </w:tcPr>
          <w:p w14:paraId="2664E169" w14:textId="77777777" w:rsidR="00A6716C" w:rsidRDefault="00A6716C" w:rsidP="00336887">
            <w:pPr>
              <w:pStyle w:val="TableBodyText"/>
              <w:keepNext w:val="0"/>
              <w:keepLines w:val="0"/>
              <w:widowControl w:val="0"/>
            </w:pPr>
          </w:p>
        </w:tc>
      </w:tr>
    </w:tbl>
    <w:p w14:paraId="14628F10" w14:textId="77777777" w:rsidR="00336887" w:rsidRDefault="0033688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298"/>
      </w:tblGrid>
      <w:tr w:rsidR="00336887" w14:paraId="25B4C83C" w14:textId="77777777" w:rsidTr="00F507A2">
        <w:tc>
          <w:tcPr>
            <w:tcW w:w="13992" w:type="dxa"/>
            <w:gridSpan w:val="2"/>
            <w:shd w:val="clear" w:color="auto" w:fill="F2F2F2" w:themeFill="background1" w:themeFillShade="F2"/>
            <w:vAlign w:val="top"/>
          </w:tcPr>
          <w:p w14:paraId="24171CB3" w14:textId="77777777" w:rsidR="00336887" w:rsidRDefault="00336887" w:rsidP="00336887">
            <w:pPr>
              <w:pStyle w:val="TableHeading"/>
              <w:jc w:val="left"/>
            </w:pPr>
            <w:r>
              <w:lastRenderedPageBreak/>
              <w:t>Definitions</w:t>
            </w:r>
            <w:r w:rsidR="00F507A2">
              <w:t>:</w:t>
            </w:r>
          </w:p>
        </w:tc>
      </w:tr>
      <w:tr w:rsidR="00336887" w14:paraId="26EF5AEC" w14:textId="77777777" w:rsidTr="00F507A2">
        <w:tc>
          <w:tcPr>
            <w:tcW w:w="2694" w:type="dxa"/>
            <w:vAlign w:val="top"/>
          </w:tcPr>
          <w:p w14:paraId="23726B08" w14:textId="77777777" w:rsidR="00336887" w:rsidRPr="00FB60B9" w:rsidRDefault="00336887" w:rsidP="00336887">
            <w:pPr>
              <w:pStyle w:val="BodyText"/>
            </w:pPr>
            <w:r w:rsidRPr="00FB60B9">
              <w:t>Conformance (C)</w:t>
            </w:r>
          </w:p>
        </w:tc>
        <w:tc>
          <w:tcPr>
            <w:tcW w:w="11298" w:type="dxa"/>
            <w:vAlign w:val="top"/>
          </w:tcPr>
          <w:p w14:paraId="7780E573" w14:textId="77777777" w:rsidR="00336887" w:rsidRPr="00FB60B9" w:rsidRDefault="00336887" w:rsidP="00336887">
            <w:pPr>
              <w:pStyle w:val="BodyText"/>
            </w:pPr>
            <w:r w:rsidRPr="00FB60B9">
              <w:t>Fulfilment of a requirement, either contractual or legislative</w:t>
            </w:r>
          </w:p>
        </w:tc>
      </w:tr>
      <w:tr w:rsidR="00336887" w14:paraId="7E94C76A" w14:textId="77777777" w:rsidTr="00F507A2">
        <w:tc>
          <w:tcPr>
            <w:tcW w:w="2694" w:type="dxa"/>
            <w:vAlign w:val="top"/>
          </w:tcPr>
          <w:p w14:paraId="477FEA2C" w14:textId="77777777" w:rsidR="00336887" w:rsidRPr="00FB60B9" w:rsidRDefault="00336887" w:rsidP="00336887">
            <w:pPr>
              <w:pStyle w:val="BodyText"/>
            </w:pPr>
            <w:r w:rsidRPr="00FB60B9">
              <w:t>Non-conformance (NC)</w:t>
            </w:r>
          </w:p>
        </w:tc>
        <w:tc>
          <w:tcPr>
            <w:tcW w:w="11298" w:type="dxa"/>
            <w:vAlign w:val="top"/>
          </w:tcPr>
          <w:p w14:paraId="11477D0B" w14:textId="77777777" w:rsidR="00336887" w:rsidRPr="00FB60B9" w:rsidRDefault="00336887" w:rsidP="00336887">
            <w:pPr>
              <w:pStyle w:val="BodyText"/>
            </w:pPr>
            <w:r w:rsidRPr="00FB60B9">
              <w:t xml:space="preserve">A failure to comply with a requirement of </w:t>
            </w:r>
            <w:r>
              <w:t>C</w:t>
            </w:r>
            <w:r w:rsidRPr="00FB60B9">
              <w:t>ontract.</w:t>
            </w:r>
          </w:p>
        </w:tc>
      </w:tr>
      <w:tr w:rsidR="00336887" w14:paraId="566B3D58" w14:textId="77777777" w:rsidTr="00F507A2">
        <w:tc>
          <w:tcPr>
            <w:tcW w:w="2694" w:type="dxa"/>
            <w:vAlign w:val="top"/>
          </w:tcPr>
          <w:p w14:paraId="2CB32518" w14:textId="77777777" w:rsidR="00336887" w:rsidRPr="00FB60B9" w:rsidRDefault="00336887" w:rsidP="00336887">
            <w:pPr>
              <w:pStyle w:val="BodyText"/>
            </w:pPr>
            <w:r w:rsidRPr="00FB60B9">
              <w:t>Not Fully Verifiable (NFV)</w:t>
            </w:r>
          </w:p>
        </w:tc>
        <w:tc>
          <w:tcPr>
            <w:tcW w:w="11298" w:type="dxa"/>
            <w:vAlign w:val="top"/>
          </w:tcPr>
          <w:p w14:paraId="6FA2DFA9" w14:textId="77777777" w:rsidR="00336887" w:rsidRPr="00FB60B9" w:rsidRDefault="00336887" w:rsidP="00336887">
            <w:pPr>
              <w:pStyle w:val="BodyText"/>
            </w:pPr>
            <w:r w:rsidRPr="00FB60B9">
              <w:t>There was insufficient evidence to determine conformance or non-conformance.</w:t>
            </w:r>
          </w:p>
        </w:tc>
      </w:tr>
      <w:tr w:rsidR="00336887" w14:paraId="731FB42F" w14:textId="77777777" w:rsidTr="00F507A2">
        <w:tc>
          <w:tcPr>
            <w:tcW w:w="2694" w:type="dxa"/>
            <w:vAlign w:val="top"/>
          </w:tcPr>
          <w:p w14:paraId="6B1D48FC" w14:textId="77777777" w:rsidR="00336887" w:rsidRPr="00FB60B9" w:rsidRDefault="00336887" w:rsidP="00336887">
            <w:pPr>
              <w:pStyle w:val="BodyText"/>
            </w:pPr>
            <w:r w:rsidRPr="00FB60B9">
              <w:t>Observation (O)</w:t>
            </w:r>
          </w:p>
        </w:tc>
        <w:tc>
          <w:tcPr>
            <w:tcW w:w="11298" w:type="dxa"/>
            <w:vAlign w:val="top"/>
          </w:tcPr>
          <w:p w14:paraId="5D85DA97" w14:textId="77777777" w:rsidR="00336887" w:rsidRPr="00FB60B9" w:rsidRDefault="00336887" w:rsidP="00336887">
            <w:pPr>
              <w:pStyle w:val="BodyText"/>
            </w:pPr>
            <w:r w:rsidRPr="00FB60B9">
              <w:t>A positive or negative comment of the auditor based on evidence and/or an observation made during the audit. Observations may or may not suggest corrective actions.</w:t>
            </w:r>
          </w:p>
        </w:tc>
      </w:tr>
    </w:tbl>
    <w:p w14:paraId="22506D68" w14:textId="77777777" w:rsidR="0061185E" w:rsidRDefault="0061185E" w:rsidP="00C957B5">
      <w:pPr>
        <w:pStyle w:val="BodyText"/>
      </w:pPr>
    </w:p>
    <w:p w14:paraId="4D41BF18" w14:textId="77777777" w:rsidR="00F507A2" w:rsidRDefault="00F507A2" w:rsidP="00C957B5">
      <w:pPr>
        <w:pStyle w:val="BodyText"/>
      </w:pPr>
    </w:p>
    <w:p w14:paraId="6E4CDEB3" w14:textId="77777777" w:rsidR="00151978" w:rsidRPr="00F507A2" w:rsidRDefault="00151978" w:rsidP="00C957B5">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064"/>
        <w:gridCol w:w="236"/>
        <w:gridCol w:w="3205"/>
        <w:gridCol w:w="293"/>
        <w:gridCol w:w="3251"/>
        <w:gridCol w:w="247"/>
      </w:tblGrid>
      <w:tr w:rsidR="00151978" w14:paraId="546F2776" w14:textId="77777777" w:rsidTr="007E0155">
        <w:tc>
          <w:tcPr>
            <w:tcW w:w="1696" w:type="dxa"/>
            <w:vMerge w:val="restart"/>
          </w:tcPr>
          <w:p w14:paraId="160867D9" w14:textId="77777777" w:rsidR="00151978" w:rsidRDefault="00151978" w:rsidP="007E0155">
            <w:pPr>
              <w:pStyle w:val="BodyText"/>
            </w:pPr>
            <w:r>
              <w:t>Audited by:</w:t>
            </w:r>
          </w:p>
        </w:tc>
        <w:tc>
          <w:tcPr>
            <w:tcW w:w="5300" w:type="dxa"/>
            <w:gridSpan w:val="2"/>
          </w:tcPr>
          <w:p w14:paraId="5B84BC2F" w14:textId="77777777" w:rsidR="00151978" w:rsidRDefault="00151978" w:rsidP="007E0155">
            <w:pPr>
              <w:pStyle w:val="BodyText"/>
              <w:jc w:val="center"/>
            </w:pPr>
          </w:p>
        </w:tc>
        <w:tc>
          <w:tcPr>
            <w:tcW w:w="3498" w:type="dxa"/>
            <w:gridSpan w:val="2"/>
          </w:tcPr>
          <w:p w14:paraId="0E343470" w14:textId="77777777" w:rsidR="00151978" w:rsidRDefault="00151978" w:rsidP="007E0155">
            <w:pPr>
              <w:pStyle w:val="BodyText"/>
              <w:jc w:val="center"/>
            </w:pPr>
          </w:p>
        </w:tc>
        <w:tc>
          <w:tcPr>
            <w:tcW w:w="3498" w:type="dxa"/>
            <w:gridSpan w:val="2"/>
          </w:tcPr>
          <w:p w14:paraId="03CC6C9B" w14:textId="77777777" w:rsidR="00151978" w:rsidRDefault="00151978" w:rsidP="007E0155">
            <w:pPr>
              <w:pStyle w:val="BodyText"/>
              <w:jc w:val="center"/>
            </w:pPr>
          </w:p>
        </w:tc>
      </w:tr>
      <w:tr w:rsidR="00151978" w14:paraId="4477A779" w14:textId="77777777" w:rsidTr="007E0155">
        <w:tc>
          <w:tcPr>
            <w:tcW w:w="1696" w:type="dxa"/>
            <w:vMerge/>
          </w:tcPr>
          <w:p w14:paraId="4749B9B3" w14:textId="77777777" w:rsidR="00151978" w:rsidRDefault="00151978" w:rsidP="007E0155">
            <w:pPr>
              <w:pStyle w:val="BodyText"/>
            </w:pPr>
          </w:p>
        </w:tc>
        <w:tc>
          <w:tcPr>
            <w:tcW w:w="5064" w:type="dxa"/>
            <w:tcBorders>
              <w:top w:val="single" w:sz="4" w:space="0" w:color="auto"/>
            </w:tcBorders>
          </w:tcPr>
          <w:p w14:paraId="7265EE14" w14:textId="77777777" w:rsidR="00151978" w:rsidRDefault="00151978" w:rsidP="007E0155">
            <w:pPr>
              <w:pStyle w:val="BodyText"/>
              <w:jc w:val="center"/>
            </w:pPr>
            <w:r>
              <w:t>Name</w:t>
            </w:r>
          </w:p>
        </w:tc>
        <w:tc>
          <w:tcPr>
            <w:tcW w:w="236" w:type="dxa"/>
          </w:tcPr>
          <w:p w14:paraId="4B6B5E3D" w14:textId="77777777" w:rsidR="00151978" w:rsidRDefault="00151978" w:rsidP="007E0155">
            <w:pPr>
              <w:pStyle w:val="BodyText"/>
              <w:jc w:val="center"/>
            </w:pPr>
          </w:p>
        </w:tc>
        <w:tc>
          <w:tcPr>
            <w:tcW w:w="3205" w:type="dxa"/>
            <w:tcBorders>
              <w:top w:val="single" w:sz="4" w:space="0" w:color="auto"/>
            </w:tcBorders>
          </w:tcPr>
          <w:p w14:paraId="710B366E" w14:textId="77777777" w:rsidR="00151978" w:rsidRDefault="00151978" w:rsidP="007E0155">
            <w:pPr>
              <w:pStyle w:val="BodyText"/>
              <w:jc w:val="center"/>
            </w:pPr>
            <w:r>
              <w:t>Signature</w:t>
            </w:r>
          </w:p>
        </w:tc>
        <w:tc>
          <w:tcPr>
            <w:tcW w:w="293" w:type="dxa"/>
          </w:tcPr>
          <w:p w14:paraId="563405DB" w14:textId="77777777" w:rsidR="00151978" w:rsidRDefault="00151978" w:rsidP="007E0155">
            <w:pPr>
              <w:pStyle w:val="BodyText"/>
              <w:jc w:val="center"/>
            </w:pPr>
          </w:p>
        </w:tc>
        <w:tc>
          <w:tcPr>
            <w:tcW w:w="3251" w:type="dxa"/>
            <w:tcBorders>
              <w:top w:val="single" w:sz="4" w:space="0" w:color="auto"/>
            </w:tcBorders>
          </w:tcPr>
          <w:p w14:paraId="24D191FB" w14:textId="77777777" w:rsidR="00151978" w:rsidRDefault="00151978" w:rsidP="007E0155">
            <w:pPr>
              <w:pStyle w:val="BodyText"/>
              <w:jc w:val="center"/>
            </w:pPr>
            <w:r>
              <w:t>Date</w:t>
            </w:r>
          </w:p>
        </w:tc>
        <w:tc>
          <w:tcPr>
            <w:tcW w:w="247" w:type="dxa"/>
          </w:tcPr>
          <w:p w14:paraId="16DA017C" w14:textId="77777777" w:rsidR="00151978" w:rsidRDefault="00151978" w:rsidP="007E0155">
            <w:pPr>
              <w:pStyle w:val="BodyText"/>
              <w:jc w:val="center"/>
            </w:pPr>
          </w:p>
        </w:tc>
      </w:tr>
    </w:tbl>
    <w:p w14:paraId="3D6093FD" w14:textId="77777777" w:rsidR="00151978" w:rsidRPr="00CE6618" w:rsidRDefault="00151978" w:rsidP="00C957B5">
      <w:pPr>
        <w:pStyle w:val="BodyText"/>
      </w:pPr>
    </w:p>
    <w:sectPr w:rsidR="00151978" w:rsidRPr="00CE6618" w:rsidSect="00714DC2">
      <w:headerReference w:type="first" r:id="rId15"/>
      <w:pgSz w:w="16838" w:h="11906" w:orient="landscape" w:code="9"/>
      <w:pgMar w:top="993"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9686" w14:textId="77777777" w:rsidR="00EF2FDD" w:rsidRDefault="00EF2FDD">
      <w:r>
        <w:separator/>
      </w:r>
    </w:p>
    <w:p w14:paraId="4B3E688C" w14:textId="77777777" w:rsidR="00EF2FDD" w:rsidRDefault="00EF2FDD"/>
  </w:endnote>
  <w:endnote w:type="continuationSeparator" w:id="0">
    <w:p w14:paraId="3B9D0618" w14:textId="77777777" w:rsidR="00EF2FDD" w:rsidRDefault="00EF2FDD">
      <w:r>
        <w:continuationSeparator/>
      </w:r>
    </w:p>
    <w:p w14:paraId="11FFA774"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Goth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5264" w14:textId="6DBA0E31" w:rsidR="00BF7B37" w:rsidRPr="00391457" w:rsidRDefault="00CC14FD" w:rsidP="00D96097">
    <w:pPr>
      <w:pStyle w:val="Footer"/>
      <w:tabs>
        <w:tab w:val="clear" w:pos="4153"/>
        <w:tab w:val="clear" w:pos="9540"/>
        <w:tab w:val="left" w:pos="13750"/>
      </w:tabs>
      <w:ind w:right="-32"/>
    </w:pPr>
    <w:r>
      <w:rPr>
        <w:noProof/>
      </w:rPr>
      <mc:AlternateContent>
        <mc:Choice Requires="wps">
          <w:drawing>
            <wp:anchor distT="0" distB="0" distL="114300" distR="114300" simplePos="0" relativeHeight="251659264" behindDoc="1" locked="1" layoutInCell="1" allowOverlap="1" wp14:anchorId="155CEE36" wp14:editId="292B4417">
              <wp:simplePos x="0" y="0"/>
              <wp:positionH relativeFrom="page">
                <wp:align>center</wp:align>
              </wp:positionH>
              <wp:positionV relativeFrom="page">
                <wp:posOffset>10430510</wp:posOffset>
              </wp:positionV>
              <wp:extent cx="7461885" cy="71755"/>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885" cy="71755"/>
                      </a:xfrm>
                      <a:prstGeom prst="rect">
                        <a:avLst/>
                      </a:prstGeom>
                      <a:solidFill>
                        <a:srgbClr val="003C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EBA58" id="Rectangle 45" o:spid="_x0000_s1026" style="position:absolute;margin-left:0;margin-top:821.3pt;width:587.55pt;height:5.6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" fillcolor="#003c6a" stroked="f">
              <w10:wrap anchorx="page" anchory="page"/>
              <w10:anchorlock/>
            </v:rect>
          </w:pict>
        </mc:Fallback>
      </mc:AlternateContent>
    </w:r>
    <w:r w:rsidR="00D7178D">
      <w:t>Road Asset Management Contract (RAMC) Gen 2</w:t>
    </w:r>
    <w:r>
      <w:t xml:space="preserve">, </w:t>
    </w:r>
    <w:r w:rsidRPr="00391457">
      <w:t>Trans</w:t>
    </w:r>
    <w:r>
      <w:t>port and Main Roads,</w:t>
    </w:r>
    <w:r w:rsidR="002F7622" w:rsidRPr="002F7622">
      <w:rPr>
        <w:noProof/>
      </w:rPr>
      <w:t xml:space="preserve"> </w:t>
    </w:r>
    <w:r w:rsidR="00C66CC7">
      <w:rPr>
        <w:noProof/>
      </w:rPr>
      <w:t>January 2020</w:t>
    </w:r>
    <w:r w:rsidR="00D96097">
      <w:rPr>
        <w:noProof/>
      </w:rP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EA1208">
      <w:rPr>
        <w:rStyle w:val="PageNumber"/>
        <w:noProof/>
      </w:rPr>
      <w:t>2</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8264C" w14:textId="77777777" w:rsidR="00EF2FDD" w:rsidRDefault="00EF2FDD">
      <w:r>
        <w:separator/>
      </w:r>
    </w:p>
    <w:p w14:paraId="2A321437" w14:textId="77777777" w:rsidR="00EF2FDD" w:rsidRDefault="00EF2FDD"/>
  </w:footnote>
  <w:footnote w:type="continuationSeparator" w:id="0">
    <w:p w14:paraId="198ED661" w14:textId="77777777" w:rsidR="00EF2FDD" w:rsidRDefault="00EF2FDD">
      <w:r>
        <w:continuationSeparator/>
      </w:r>
    </w:p>
    <w:p w14:paraId="17C2F49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3E17" w14:textId="77777777" w:rsidR="00C957B5" w:rsidRDefault="00D7178D" w:rsidP="00C957B5">
    <w:pPr>
      <w:pStyle w:val="HeaderChapterpart"/>
    </w:pPr>
    <w:r>
      <w:t>Form: RAMC Environmental Audit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DF46C" w14:textId="77777777" w:rsidR="002F7622" w:rsidRDefault="00EA1208">
    <w:pPr>
      <w:pStyle w:val="Header"/>
    </w:pPr>
    <w:r>
      <w:rPr>
        <w:noProof/>
      </w:rPr>
      <w:drawing>
        <wp:anchor distT="0" distB="0" distL="114300" distR="114300" simplePos="0" relativeHeight="251663360" behindDoc="1" locked="0" layoutInCell="1" allowOverlap="1" wp14:anchorId="7BE00237" wp14:editId="5BC1EC58">
          <wp:simplePos x="0" y="0"/>
          <wp:positionH relativeFrom="page">
            <wp:align>right</wp:align>
          </wp:positionH>
          <wp:positionV relativeFrom="paragraph">
            <wp:posOffset>-311785</wp:posOffset>
          </wp:positionV>
          <wp:extent cx="10687685" cy="7558405"/>
          <wp:effectExtent l="0" t="0" r="0" b="0"/>
          <wp:wrapNone/>
          <wp:docPr id="16" name="Picture 16" descr="A4-Landscape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Landscape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685" cy="75584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0FBC2" w14:textId="77777777" w:rsidR="00D7178D" w:rsidRDefault="00D7178D" w:rsidP="00D7178D">
    <w:pPr>
      <w:pStyle w:val="HeaderChapterpart"/>
    </w:pPr>
    <w:r>
      <w:t>Form: RAMC Environmental Audit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4576"/>
    <w:multiLevelType w:val="hybridMultilevel"/>
    <w:tmpl w:val="2A52F5E0"/>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 w15:restartNumberingAfterBreak="0">
    <w:nsid w:val="03267A82"/>
    <w:multiLevelType w:val="hybridMultilevel"/>
    <w:tmpl w:val="D5B4F614"/>
    <w:lvl w:ilvl="0" w:tplc="C10A1C8A">
      <w:start w:val="1"/>
      <w:numFmt w:val="bullet"/>
      <w:lvlText w:val="o"/>
      <w:lvlJc w:val="left"/>
      <w:pPr>
        <w:ind w:left="1069" w:hanging="360"/>
      </w:pPr>
      <w:rPr>
        <w:rFonts w:ascii="Courier New" w:hAnsi="Courier New" w:cs="Courier New" w:hint="default"/>
        <w:i w:val="0"/>
      </w:rPr>
    </w:lvl>
    <w:lvl w:ilvl="1" w:tplc="0C090003" w:tentative="1">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364" w:hanging="360"/>
      </w:pPr>
      <w:rPr>
        <w:rFonts w:ascii="Wingdings" w:hAnsi="Wingdings" w:hint="default"/>
      </w:rPr>
    </w:lvl>
    <w:lvl w:ilvl="3" w:tplc="0C090001" w:tentative="1">
      <w:start w:val="1"/>
      <w:numFmt w:val="bullet"/>
      <w:lvlText w:val=""/>
      <w:lvlJc w:val="left"/>
      <w:pPr>
        <w:ind w:left="2084" w:hanging="360"/>
      </w:pPr>
      <w:rPr>
        <w:rFonts w:ascii="Symbol" w:hAnsi="Symbol" w:hint="default"/>
      </w:rPr>
    </w:lvl>
    <w:lvl w:ilvl="4" w:tplc="0C090003" w:tentative="1">
      <w:start w:val="1"/>
      <w:numFmt w:val="bullet"/>
      <w:lvlText w:val="o"/>
      <w:lvlJc w:val="left"/>
      <w:pPr>
        <w:ind w:left="2804" w:hanging="360"/>
      </w:pPr>
      <w:rPr>
        <w:rFonts w:ascii="Courier New" w:hAnsi="Courier New" w:cs="Courier New" w:hint="default"/>
      </w:rPr>
    </w:lvl>
    <w:lvl w:ilvl="5" w:tplc="0C090005" w:tentative="1">
      <w:start w:val="1"/>
      <w:numFmt w:val="bullet"/>
      <w:lvlText w:val=""/>
      <w:lvlJc w:val="left"/>
      <w:pPr>
        <w:ind w:left="3524" w:hanging="360"/>
      </w:pPr>
      <w:rPr>
        <w:rFonts w:ascii="Wingdings" w:hAnsi="Wingdings" w:hint="default"/>
      </w:rPr>
    </w:lvl>
    <w:lvl w:ilvl="6" w:tplc="0C090001" w:tentative="1">
      <w:start w:val="1"/>
      <w:numFmt w:val="bullet"/>
      <w:lvlText w:val=""/>
      <w:lvlJc w:val="left"/>
      <w:pPr>
        <w:ind w:left="4244" w:hanging="360"/>
      </w:pPr>
      <w:rPr>
        <w:rFonts w:ascii="Symbol" w:hAnsi="Symbol" w:hint="default"/>
      </w:rPr>
    </w:lvl>
    <w:lvl w:ilvl="7" w:tplc="0C090003" w:tentative="1">
      <w:start w:val="1"/>
      <w:numFmt w:val="bullet"/>
      <w:lvlText w:val="o"/>
      <w:lvlJc w:val="left"/>
      <w:pPr>
        <w:ind w:left="4964" w:hanging="360"/>
      </w:pPr>
      <w:rPr>
        <w:rFonts w:ascii="Courier New" w:hAnsi="Courier New" w:cs="Courier New" w:hint="default"/>
      </w:rPr>
    </w:lvl>
    <w:lvl w:ilvl="8" w:tplc="0C090005" w:tentative="1">
      <w:start w:val="1"/>
      <w:numFmt w:val="bullet"/>
      <w:lvlText w:val=""/>
      <w:lvlJc w:val="left"/>
      <w:pPr>
        <w:ind w:left="5684" w:hanging="360"/>
      </w:pPr>
      <w:rPr>
        <w:rFonts w:ascii="Wingdings" w:hAnsi="Wingdings" w:hint="default"/>
      </w:rPr>
    </w:lvl>
  </w:abstractNum>
  <w:abstractNum w:abstractNumId="2" w15:restartNumberingAfterBreak="0">
    <w:nsid w:val="072D0803"/>
    <w:multiLevelType w:val="hybridMultilevel"/>
    <w:tmpl w:val="3722721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C7B59AB"/>
    <w:multiLevelType w:val="hybridMultilevel"/>
    <w:tmpl w:val="8DF809A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75A7413"/>
    <w:multiLevelType w:val="hybridMultilevel"/>
    <w:tmpl w:val="799CFBD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2" w15:restartNumberingAfterBreak="0">
    <w:nsid w:val="2BE51BDF"/>
    <w:multiLevelType w:val="hybridMultilevel"/>
    <w:tmpl w:val="D29A11E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D4506"/>
    <w:multiLevelType w:val="hybridMultilevel"/>
    <w:tmpl w:val="3D3A3A26"/>
    <w:lvl w:ilvl="0" w:tplc="0C090001">
      <w:start w:val="1"/>
      <w:numFmt w:val="bullet"/>
      <w:lvlText w:val=""/>
      <w:lvlJc w:val="left"/>
      <w:pPr>
        <w:ind w:left="748" w:hanging="360"/>
      </w:pPr>
      <w:rPr>
        <w:rFonts w:ascii="Symbol" w:hAnsi="Symbol" w:hint="default"/>
      </w:rPr>
    </w:lvl>
    <w:lvl w:ilvl="1" w:tplc="0C090001">
      <w:start w:val="1"/>
      <w:numFmt w:val="bullet"/>
      <w:lvlText w:val=""/>
      <w:lvlJc w:val="left"/>
      <w:pPr>
        <w:ind w:left="1468" w:hanging="360"/>
      </w:pPr>
      <w:rPr>
        <w:rFonts w:ascii="Symbol" w:hAnsi="Symbol"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4" w15:restartNumberingAfterBreak="0">
    <w:nsid w:val="38B0774F"/>
    <w:multiLevelType w:val="multilevel"/>
    <w:tmpl w:val="620CC31C"/>
    <w:numStyleLink w:val="ListAllBullets3Level"/>
  </w:abstractNum>
  <w:abstractNum w:abstractNumId="15" w15:restartNumberingAfterBreak="0">
    <w:nsid w:val="39CA4940"/>
    <w:multiLevelType w:val="multilevel"/>
    <w:tmpl w:val="86C81A1E"/>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15:restartNumberingAfterBreak="0">
    <w:nsid w:val="3AB91C27"/>
    <w:multiLevelType w:val="multilevel"/>
    <w:tmpl w:val="AD56466E"/>
    <w:name w:val="Portfolio_Bullets"/>
    <w:lvl w:ilvl="0">
      <w:start w:val="1"/>
      <w:numFmt w:val="bullet"/>
      <w:lvlRestart w:val="0"/>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lvl>
    <w:lvl w:ilvl="4">
      <w:start w:val="1"/>
      <w:numFmt w:val="bullet"/>
      <w:lvlText w:val=""/>
      <w:lvlJc w:val="left"/>
      <w:pPr>
        <w:tabs>
          <w:tab w:val="num" w:pos="2835"/>
        </w:tabs>
        <w:ind w:left="2835" w:hanging="567"/>
      </w:pPr>
    </w:lvl>
    <w:lvl w:ilvl="5">
      <w:start w:val="1"/>
      <w:numFmt w:val="bullet"/>
      <w:lvlText w:val=""/>
      <w:lvlJc w:val="left"/>
      <w:pPr>
        <w:tabs>
          <w:tab w:val="num" w:pos="3402"/>
        </w:tabs>
        <w:ind w:left="3402" w:hanging="567"/>
      </w:pPr>
    </w:lvl>
    <w:lvl w:ilvl="6">
      <w:start w:val="1"/>
      <w:numFmt w:val="bullet"/>
      <w:lvlText w:val=""/>
      <w:lvlJc w:val="left"/>
      <w:pPr>
        <w:tabs>
          <w:tab w:val="num" w:pos="3969"/>
        </w:tabs>
        <w:ind w:left="3969" w:hanging="567"/>
      </w:pPr>
    </w:lvl>
    <w:lvl w:ilvl="7">
      <w:start w:val="1"/>
      <w:numFmt w:val="bullet"/>
      <w:lvlText w:val=""/>
      <w:lvlJc w:val="left"/>
      <w:pPr>
        <w:tabs>
          <w:tab w:val="num" w:pos="4535"/>
        </w:tabs>
        <w:ind w:left="4535" w:hanging="566"/>
      </w:pPr>
    </w:lvl>
    <w:lvl w:ilvl="8">
      <w:start w:val="1"/>
      <w:numFmt w:val="bullet"/>
      <w:lvlText w:val=""/>
      <w:lvlJc w:val="left"/>
      <w:pPr>
        <w:tabs>
          <w:tab w:val="num" w:pos="5102"/>
        </w:tabs>
        <w:ind w:left="5102" w:hanging="567"/>
      </w:pPr>
    </w:lvl>
  </w:abstractNum>
  <w:abstractNum w:abstractNumId="17"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66962B0"/>
    <w:multiLevelType w:val="hybridMultilevel"/>
    <w:tmpl w:val="5088E8D2"/>
    <w:name w:val="Bullet List 32222"/>
    <w:lvl w:ilvl="0" w:tplc="4642CAD6">
      <w:start w:val="1"/>
      <w:numFmt w:val="bullet"/>
      <w:lvlText w:val="o"/>
      <w:lvlJc w:val="left"/>
      <w:pPr>
        <w:ind w:left="1069" w:hanging="360"/>
      </w:pPr>
      <w:rPr>
        <w:rFonts w:ascii="Courier New" w:hAnsi="Courier New" w:cs="Courier New" w:hint="default"/>
        <w:i w:val="0"/>
        <w:sz w:val="24"/>
        <w:szCs w:val="24"/>
      </w:rPr>
    </w:lvl>
    <w:lvl w:ilvl="1" w:tplc="0C090003" w:tentative="1">
      <w:start w:val="1"/>
      <w:numFmt w:val="bullet"/>
      <w:lvlText w:val="o"/>
      <w:lvlJc w:val="left"/>
      <w:pPr>
        <w:ind w:left="1599" w:hanging="360"/>
      </w:pPr>
      <w:rPr>
        <w:rFonts w:ascii="Courier New" w:hAnsi="Courier New" w:cs="Courier New" w:hint="default"/>
      </w:rPr>
    </w:lvl>
    <w:lvl w:ilvl="2" w:tplc="0C090005" w:tentative="1">
      <w:start w:val="1"/>
      <w:numFmt w:val="bullet"/>
      <w:lvlText w:val=""/>
      <w:lvlJc w:val="left"/>
      <w:pPr>
        <w:ind w:left="2319" w:hanging="360"/>
      </w:pPr>
      <w:rPr>
        <w:rFonts w:ascii="Wingdings" w:hAnsi="Wingdings" w:hint="default"/>
      </w:rPr>
    </w:lvl>
    <w:lvl w:ilvl="3" w:tplc="0C090001" w:tentative="1">
      <w:start w:val="1"/>
      <w:numFmt w:val="bullet"/>
      <w:lvlText w:val=""/>
      <w:lvlJc w:val="left"/>
      <w:pPr>
        <w:ind w:left="3039" w:hanging="360"/>
      </w:pPr>
      <w:rPr>
        <w:rFonts w:ascii="Symbol" w:hAnsi="Symbol" w:hint="default"/>
      </w:rPr>
    </w:lvl>
    <w:lvl w:ilvl="4" w:tplc="0C090003" w:tentative="1">
      <w:start w:val="1"/>
      <w:numFmt w:val="bullet"/>
      <w:lvlText w:val="o"/>
      <w:lvlJc w:val="left"/>
      <w:pPr>
        <w:ind w:left="3759" w:hanging="360"/>
      </w:pPr>
      <w:rPr>
        <w:rFonts w:ascii="Courier New" w:hAnsi="Courier New" w:cs="Courier New" w:hint="default"/>
      </w:rPr>
    </w:lvl>
    <w:lvl w:ilvl="5" w:tplc="0C090005" w:tentative="1">
      <w:start w:val="1"/>
      <w:numFmt w:val="bullet"/>
      <w:lvlText w:val=""/>
      <w:lvlJc w:val="left"/>
      <w:pPr>
        <w:ind w:left="4479" w:hanging="360"/>
      </w:pPr>
      <w:rPr>
        <w:rFonts w:ascii="Wingdings" w:hAnsi="Wingdings" w:hint="default"/>
      </w:rPr>
    </w:lvl>
    <w:lvl w:ilvl="6" w:tplc="0C090001" w:tentative="1">
      <w:start w:val="1"/>
      <w:numFmt w:val="bullet"/>
      <w:lvlText w:val=""/>
      <w:lvlJc w:val="left"/>
      <w:pPr>
        <w:ind w:left="5199" w:hanging="360"/>
      </w:pPr>
      <w:rPr>
        <w:rFonts w:ascii="Symbol" w:hAnsi="Symbol" w:hint="default"/>
      </w:rPr>
    </w:lvl>
    <w:lvl w:ilvl="7" w:tplc="0C090003" w:tentative="1">
      <w:start w:val="1"/>
      <w:numFmt w:val="bullet"/>
      <w:lvlText w:val="o"/>
      <w:lvlJc w:val="left"/>
      <w:pPr>
        <w:ind w:left="5919" w:hanging="360"/>
      </w:pPr>
      <w:rPr>
        <w:rFonts w:ascii="Courier New" w:hAnsi="Courier New" w:cs="Courier New" w:hint="default"/>
      </w:rPr>
    </w:lvl>
    <w:lvl w:ilvl="8" w:tplc="0C090005" w:tentative="1">
      <w:start w:val="1"/>
      <w:numFmt w:val="bullet"/>
      <w:lvlText w:val=""/>
      <w:lvlJc w:val="left"/>
      <w:pPr>
        <w:ind w:left="6639" w:hanging="360"/>
      </w:pPr>
      <w:rPr>
        <w:rFonts w:ascii="Wingdings" w:hAnsi="Wingdings" w:hint="default"/>
      </w:rPr>
    </w:lvl>
  </w:abstractNum>
  <w:abstractNum w:abstractNumId="20" w15:restartNumberingAfterBreak="0">
    <w:nsid w:val="46AF769B"/>
    <w:multiLevelType w:val="hybridMultilevel"/>
    <w:tmpl w:val="EFCE4E4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1" w15:restartNumberingAfterBreak="0">
    <w:nsid w:val="50D838E5"/>
    <w:multiLevelType w:val="hybridMultilevel"/>
    <w:tmpl w:val="AB36ACC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2" w15:restartNumberingAfterBreak="0">
    <w:nsid w:val="55F56F5B"/>
    <w:multiLevelType w:val="hybridMultilevel"/>
    <w:tmpl w:val="7D92B92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3" w15:restartNumberingAfterBreak="0">
    <w:nsid w:val="56717F40"/>
    <w:multiLevelType w:val="hybridMultilevel"/>
    <w:tmpl w:val="A5869FB6"/>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4" w15:restartNumberingAfterBreak="0">
    <w:nsid w:val="58CF37FE"/>
    <w:multiLevelType w:val="hybridMultilevel"/>
    <w:tmpl w:val="A2680F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211"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5B5B9A"/>
    <w:multiLevelType w:val="hybridMultilevel"/>
    <w:tmpl w:val="C810A914"/>
    <w:lvl w:ilvl="0" w:tplc="FF84F5EC">
      <w:start w:val="1"/>
      <w:numFmt w:val="bullet"/>
      <w:lvlText w:val=""/>
      <w:lvlJc w:val="left"/>
      <w:pPr>
        <w:ind w:left="748" w:hanging="360"/>
      </w:pPr>
      <w:rPr>
        <w:rFonts w:ascii="Wingdings" w:hAnsi="Wingdings" w:hint="default"/>
      </w:rPr>
    </w:lvl>
    <w:lvl w:ilvl="1" w:tplc="0C090003">
      <w:start w:val="1"/>
      <w:numFmt w:val="bullet"/>
      <w:lvlText w:val="o"/>
      <w:lvlJc w:val="left"/>
      <w:pPr>
        <w:ind w:left="1353"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6" w15:restartNumberingAfterBreak="0">
    <w:nsid w:val="64F43A44"/>
    <w:multiLevelType w:val="hybridMultilevel"/>
    <w:tmpl w:val="E416CB18"/>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7" w15:restartNumberingAfterBreak="0">
    <w:nsid w:val="65D61193"/>
    <w:multiLevelType w:val="hybridMultilevel"/>
    <w:tmpl w:val="B9B291D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8BE03B8"/>
    <w:multiLevelType w:val="hybridMultilevel"/>
    <w:tmpl w:val="ABAA16E8"/>
    <w:lvl w:ilvl="0" w:tplc="AA0E45EC">
      <w:start w:val="1"/>
      <w:numFmt w:val="bullet"/>
      <w:lvlText w:val=""/>
      <w:lvlJc w:val="left"/>
      <w:pPr>
        <w:ind w:left="748" w:hanging="360"/>
      </w:pPr>
      <w:rPr>
        <w:rFonts w:ascii="Wingdings 2" w:hAnsi="Wingdings 2" w:cs="Times New Roman" w:hint="default"/>
        <w:sz w:val="28"/>
        <w:szCs w:val="28"/>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0" w15:restartNumberingAfterBreak="0">
    <w:nsid w:val="6EF3311B"/>
    <w:multiLevelType w:val="hybridMultilevel"/>
    <w:tmpl w:val="12EE74CA"/>
    <w:lvl w:ilvl="0" w:tplc="E85805FC">
      <w:start w:val="1"/>
      <w:numFmt w:val="decimal"/>
      <w:pStyle w:val="Numberedlist"/>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31" w15:restartNumberingAfterBreak="0">
    <w:nsid w:val="746F24B8"/>
    <w:multiLevelType w:val="hybridMultilevel"/>
    <w:tmpl w:val="AB2AE8A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2" w15:restartNumberingAfterBreak="0">
    <w:nsid w:val="7990547F"/>
    <w:multiLevelType w:val="hybridMultilevel"/>
    <w:tmpl w:val="8952A63E"/>
    <w:lvl w:ilvl="0" w:tplc="FF84F5EC">
      <w:start w:val="1"/>
      <w:numFmt w:val="bullet"/>
      <w:lvlText w:val=""/>
      <w:lvlJc w:val="left"/>
      <w:pPr>
        <w:ind w:left="720" w:hanging="360"/>
      </w:pPr>
      <w:rPr>
        <w:rFonts w:ascii="Wingdings" w:hAnsi="Wingdings" w:hint="default"/>
      </w:rPr>
    </w:lvl>
    <w:lvl w:ilvl="1" w:tplc="0C090003">
      <w:start w:val="1"/>
      <w:numFmt w:val="bullet"/>
      <w:lvlText w:val="o"/>
      <w:lvlJc w:val="left"/>
      <w:pPr>
        <w:ind w:left="927" w:hanging="360"/>
      </w:pPr>
      <w:rPr>
        <w:rFonts w:ascii="Courier New" w:hAnsi="Courier New" w:cs="Courier New" w:hint="default"/>
      </w:rPr>
    </w:lvl>
    <w:lvl w:ilvl="2" w:tplc="0C090003">
      <w:start w:val="1"/>
      <w:numFmt w:val="bullet"/>
      <w:lvlText w:val="o"/>
      <w:lvlJc w:val="left"/>
      <w:pPr>
        <w:ind w:left="1571" w:hanging="720"/>
      </w:pPr>
      <w:rPr>
        <w:rFonts w:ascii="Courier New" w:hAnsi="Courier New" w:cs="Courier New" w:hint="default"/>
        <w:sz w:val="2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1E6477"/>
    <w:multiLevelType w:val="hybridMultilevel"/>
    <w:tmpl w:val="295C233A"/>
    <w:lvl w:ilvl="0" w:tplc="E03C09E8">
      <w:start w:val="1"/>
      <w:numFmt w:val="bullet"/>
      <w:pStyle w:val="Bulletedlis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abstractNumId w:val="7"/>
  </w:num>
  <w:num w:numId="2">
    <w:abstractNumId w:val="17"/>
  </w:num>
  <w:num w:numId="3">
    <w:abstractNumId w:val="28"/>
  </w:num>
  <w:num w:numId="4">
    <w:abstractNumId w:val="3"/>
  </w:num>
  <w:num w:numId="5">
    <w:abstractNumId w:val="10"/>
  </w:num>
  <w:num w:numId="6">
    <w:abstractNumId w:val="9"/>
  </w:num>
  <w:num w:numId="7">
    <w:abstractNumId w:val="5"/>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18"/>
  </w:num>
  <w:num w:numId="13">
    <w:abstractNumId w:val="26"/>
  </w:num>
  <w:num w:numId="14">
    <w:abstractNumId w:val="20"/>
  </w:num>
  <w:num w:numId="15">
    <w:abstractNumId w:val="0"/>
  </w:num>
  <w:num w:numId="16">
    <w:abstractNumId w:val="22"/>
  </w:num>
  <w:num w:numId="17">
    <w:abstractNumId w:val="13"/>
  </w:num>
  <w:num w:numId="18">
    <w:abstractNumId w:val="23"/>
  </w:num>
  <w:num w:numId="19">
    <w:abstractNumId w:val="11"/>
  </w:num>
  <w:num w:numId="20">
    <w:abstractNumId w:val="31"/>
  </w:num>
  <w:num w:numId="21">
    <w:abstractNumId w:val="21"/>
  </w:num>
  <w:num w:numId="22">
    <w:abstractNumId w:val="8"/>
  </w:num>
  <w:num w:numId="23">
    <w:abstractNumId w:val="29"/>
  </w:num>
  <w:num w:numId="24">
    <w:abstractNumId w:val="33"/>
  </w:num>
  <w:num w:numId="25">
    <w:abstractNumId w:val="30"/>
  </w:num>
  <w:num w:numId="26">
    <w:abstractNumId w:val="1"/>
  </w:num>
  <w:num w:numId="27">
    <w:abstractNumId w:val="12"/>
  </w:num>
  <w:num w:numId="28">
    <w:abstractNumId w:val="27"/>
  </w:num>
  <w:num w:numId="29">
    <w:abstractNumId w:val="2"/>
  </w:num>
  <w:num w:numId="30">
    <w:abstractNumId w:val="16"/>
  </w:num>
  <w:num w:numId="31">
    <w:abstractNumId w:val="32"/>
  </w:num>
  <w:num w:numId="32">
    <w:abstractNumId w:val="25"/>
  </w:num>
  <w:num w:numId="33">
    <w:abstractNumId w:val="24"/>
  </w:num>
  <w:num w:numId="34">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033C"/>
    <w:rsid w:val="00042CEB"/>
    <w:rsid w:val="0006499F"/>
    <w:rsid w:val="00065477"/>
    <w:rsid w:val="00066DBE"/>
    <w:rsid w:val="0006713E"/>
    <w:rsid w:val="00070044"/>
    <w:rsid w:val="0007165A"/>
    <w:rsid w:val="000913ED"/>
    <w:rsid w:val="00096FC7"/>
    <w:rsid w:val="000A1B9D"/>
    <w:rsid w:val="000B047B"/>
    <w:rsid w:val="000B71E8"/>
    <w:rsid w:val="000E1CE3"/>
    <w:rsid w:val="0010528D"/>
    <w:rsid w:val="00107514"/>
    <w:rsid w:val="00115E98"/>
    <w:rsid w:val="00125B5A"/>
    <w:rsid w:val="00127371"/>
    <w:rsid w:val="001326DE"/>
    <w:rsid w:val="00151978"/>
    <w:rsid w:val="00172FEB"/>
    <w:rsid w:val="00173953"/>
    <w:rsid w:val="0017686C"/>
    <w:rsid w:val="00176CC5"/>
    <w:rsid w:val="001A4752"/>
    <w:rsid w:val="001A697D"/>
    <w:rsid w:val="001B1393"/>
    <w:rsid w:val="001C6957"/>
    <w:rsid w:val="001C6D5F"/>
    <w:rsid w:val="001E3E78"/>
    <w:rsid w:val="001E6893"/>
    <w:rsid w:val="001F10CD"/>
    <w:rsid w:val="001F2035"/>
    <w:rsid w:val="0021608E"/>
    <w:rsid w:val="00216756"/>
    <w:rsid w:val="00216F79"/>
    <w:rsid w:val="00217457"/>
    <w:rsid w:val="00231903"/>
    <w:rsid w:val="00232573"/>
    <w:rsid w:val="00234B98"/>
    <w:rsid w:val="002405CD"/>
    <w:rsid w:val="002407FF"/>
    <w:rsid w:val="002669B1"/>
    <w:rsid w:val="00271868"/>
    <w:rsid w:val="002738CB"/>
    <w:rsid w:val="00273C11"/>
    <w:rsid w:val="00275DDB"/>
    <w:rsid w:val="00277E0F"/>
    <w:rsid w:val="00287680"/>
    <w:rsid w:val="002A50A0"/>
    <w:rsid w:val="002D73C5"/>
    <w:rsid w:val="002E0B83"/>
    <w:rsid w:val="002F2356"/>
    <w:rsid w:val="002F7622"/>
    <w:rsid w:val="0030503A"/>
    <w:rsid w:val="003108B7"/>
    <w:rsid w:val="00315F53"/>
    <w:rsid w:val="00322F9D"/>
    <w:rsid w:val="003231FA"/>
    <w:rsid w:val="003323B1"/>
    <w:rsid w:val="00334113"/>
    <w:rsid w:val="00336228"/>
    <w:rsid w:val="00336887"/>
    <w:rsid w:val="00350E10"/>
    <w:rsid w:val="00361264"/>
    <w:rsid w:val="00363C04"/>
    <w:rsid w:val="003717FA"/>
    <w:rsid w:val="00376A0A"/>
    <w:rsid w:val="00383A3B"/>
    <w:rsid w:val="00391457"/>
    <w:rsid w:val="003960ED"/>
    <w:rsid w:val="003A5033"/>
    <w:rsid w:val="003C340E"/>
    <w:rsid w:val="003D1729"/>
    <w:rsid w:val="003D200A"/>
    <w:rsid w:val="003E0E9D"/>
    <w:rsid w:val="003E3C82"/>
    <w:rsid w:val="003F1020"/>
    <w:rsid w:val="00400CF8"/>
    <w:rsid w:val="004030EB"/>
    <w:rsid w:val="00403422"/>
    <w:rsid w:val="0041645F"/>
    <w:rsid w:val="004525EA"/>
    <w:rsid w:val="00456933"/>
    <w:rsid w:val="00456A07"/>
    <w:rsid w:val="00477792"/>
    <w:rsid w:val="004B22D1"/>
    <w:rsid w:val="004D2E76"/>
    <w:rsid w:val="004E3F40"/>
    <w:rsid w:val="004E49B7"/>
    <w:rsid w:val="004F4085"/>
    <w:rsid w:val="00501027"/>
    <w:rsid w:val="00521D18"/>
    <w:rsid w:val="005233EF"/>
    <w:rsid w:val="00526282"/>
    <w:rsid w:val="00530265"/>
    <w:rsid w:val="005424A4"/>
    <w:rsid w:val="00554B3A"/>
    <w:rsid w:val="00556E72"/>
    <w:rsid w:val="005748A5"/>
    <w:rsid w:val="00575CE8"/>
    <w:rsid w:val="005815CB"/>
    <w:rsid w:val="00582599"/>
    <w:rsid w:val="00582E91"/>
    <w:rsid w:val="00583E28"/>
    <w:rsid w:val="00590D4E"/>
    <w:rsid w:val="0059511F"/>
    <w:rsid w:val="005C1DF1"/>
    <w:rsid w:val="005D3973"/>
    <w:rsid w:val="005D59C0"/>
    <w:rsid w:val="005F5CFB"/>
    <w:rsid w:val="0060080E"/>
    <w:rsid w:val="0061185E"/>
    <w:rsid w:val="00622BC5"/>
    <w:rsid w:val="00627391"/>
    <w:rsid w:val="00627EC8"/>
    <w:rsid w:val="00635475"/>
    <w:rsid w:val="00641639"/>
    <w:rsid w:val="00645A39"/>
    <w:rsid w:val="00666E20"/>
    <w:rsid w:val="0066762E"/>
    <w:rsid w:val="00676214"/>
    <w:rsid w:val="00685152"/>
    <w:rsid w:val="00686875"/>
    <w:rsid w:val="006A6908"/>
    <w:rsid w:val="006A7E30"/>
    <w:rsid w:val="006C2B1A"/>
    <w:rsid w:val="006D2668"/>
    <w:rsid w:val="006D2FDF"/>
    <w:rsid w:val="006D52CB"/>
    <w:rsid w:val="006D553A"/>
    <w:rsid w:val="00714DC2"/>
    <w:rsid w:val="0072078E"/>
    <w:rsid w:val="00723F1A"/>
    <w:rsid w:val="00730C95"/>
    <w:rsid w:val="00740BDC"/>
    <w:rsid w:val="007462A6"/>
    <w:rsid w:val="007672DC"/>
    <w:rsid w:val="0077261D"/>
    <w:rsid w:val="00785550"/>
    <w:rsid w:val="00793FA9"/>
    <w:rsid w:val="00796D7D"/>
    <w:rsid w:val="007B49FF"/>
    <w:rsid w:val="007B669A"/>
    <w:rsid w:val="007C4319"/>
    <w:rsid w:val="007D0963"/>
    <w:rsid w:val="007D76AC"/>
    <w:rsid w:val="007F56CD"/>
    <w:rsid w:val="00811807"/>
    <w:rsid w:val="00825E2A"/>
    <w:rsid w:val="008807C8"/>
    <w:rsid w:val="008843E8"/>
    <w:rsid w:val="008A19A0"/>
    <w:rsid w:val="008A53B7"/>
    <w:rsid w:val="008B3748"/>
    <w:rsid w:val="008B61BF"/>
    <w:rsid w:val="008C47FC"/>
    <w:rsid w:val="008D02E2"/>
    <w:rsid w:val="008F36D9"/>
    <w:rsid w:val="008F47F2"/>
    <w:rsid w:val="00904118"/>
    <w:rsid w:val="0091452E"/>
    <w:rsid w:val="00926AFF"/>
    <w:rsid w:val="00940C46"/>
    <w:rsid w:val="00944A3A"/>
    <w:rsid w:val="00945942"/>
    <w:rsid w:val="0098641F"/>
    <w:rsid w:val="00996C59"/>
    <w:rsid w:val="009A297A"/>
    <w:rsid w:val="009A671A"/>
    <w:rsid w:val="009B2347"/>
    <w:rsid w:val="009B39D2"/>
    <w:rsid w:val="009B6FF8"/>
    <w:rsid w:val="009E22DF"/>
    <w:rsid w:val="009E5C89"/>
    <w:rsid w:val="00A00F46"/>
    <w:rsid w:val="00A11B99"/>
    <w:rsid w:val="00A12D4E"/>
    <w:rsid w:val="00A20B17"/>
    <w:rsid w:val="00A23F13"/>
    <w:rsid w:val="00A27877"/>
    <w:rsid w:val="00A52AB4"/>
    <w:rsid w:val="00A6716C"/>
    <w:rsid w:val="00A832D7"/>
    <w:rsid w:val="00A9555C"/>
    <w:rsid w:val="00AA18F5"/>
    <w:rsid w:val="00AA6B2F"/>
    <w:rsid w:val="00AA7630"/>
    <w:rsid w:val="00AA7C6C"/>
    <w:rsid w:val="00AB5329"/>
    <w:rsid w:val="00AC154D"/>
    <w:rsid w:val="00AC4DD9"/>
    <w:rsid w:val="00AC5414"/>
    <w:rsid w:val="00AD4D04"/>
    <w:rsid w:val="00AD7634"/>
    <w:rsid w:val="00AD7A19"/>
    <w:rsid w:val="00AE06C1"/>
    <w:rsid w:val="00AE43B4"/>
    <w:rsid w:val="00AE72A9"/>
    <w:rsid w:val="00AE78C4"/>
    <w:rsid w:val="00AF20C3"/>
    <w:rsid w:val="00AF7DD6"/>
    <w:rsid w:val="00B05B2E"/>
    <w:rsid w:val="00B249E6"/>
    <w:rsid w:val="00B4064C"/>
    <w:rsid w:val="00B705E6"/>
    <w:rsid w:val="00B712C5"/>
    <w:rsid w:val="00B8333F"/>
    <w:rsid w:val="00B8519F"/>
    <w:rsid w:val="00BB09C2"/>
    <w:rsid w:val="00BB2B19"/>
    <w:rsid w:val="00BB468F"/>
    <w:rsid w:val="00BC17C8"/>
    <w:rsid w:val="00BC3ED2"/>
    <w:rsid w:val="00BC68B8"/>
    <w:rsid w:val="00BD257C"/>
    <w:rsid w:val="00BD26EA"/>
    <w:rsid w:val="00BD5378"/>
    <w:rsid w:val="00BE327E"/>
    <w:rsid w:val="00BE6F04"/>
    <w:rsid w:val="00BF0295"/>
    <w:rsid w:val="00BF2FA5"/>
    <w:rsid w:val="00BF373B"/>
    <w:rsid w:val="00BF7B37"/>
    <w:rsid w:val="00C24F6C"/>
    <w:rsid w:val="00C33EEE"/>
    <w:rsid w:val="00C34106"/>
    <w:rsid w:val="00C352F9"/>
    <w:rsid w:val="00C46646"/>
    <w:rsid w:val="00C50278"/>
    <w:rsid w:val="00C66CC7"/>
    <w:rsid w:val="00C76378"/>
    <w:rsid w:val="00C81006"/>
    <w:rsid w:val="00C957B5"/>
    <w:rsid w:val="00C965C0"/>
    <w:rsid w:val="00C97D93"/>
    <w:rsid w:val="00C97F79"/>
    <w:rsid w:val="00CA107F"/>
    <w:rsid w:val="00CA3157"/>
    <w:rsid w:val="00CA4B9D"/>
    <w:rsid w:val="00CC14FD"/>
    <w:rsid w:val="00CD30F9"/>
    <w:rsid w:val="00CD69CA"/>
    <w:rsid w:val="00CE6618"/>
    <w:rsid w:val="00D00DAB"/>
    <w:rsid w:val="00D00ECB"/>
    <w:rsid w:val="00D01D6F"/>
    <w:rsid w:val="00D0624C"/>
    <w:rsid w:val="00D12160"/>
    <w:rsid w:val="00D124FD"/>
    <w:rsid w:val="00D137DA"/>
    <w:rsid w:val="00D15248"/>
    <w:rsid w:val="00D435F2"/>
    <w:rsid w:val="00D448A9"/>
    <w:rsid w:val="00D56593"/>
    <w:rsid w:val="00D67F00"/>
    <w:rsid w:val="00D7178D"/>
    <w:rsid w:val="00D8447C"/>
    <w:rsid w:val="00D86598"/>
    <w:rsid w:val="00D934C0"/>
    <w:rsid w:val="00D96097"/>
    <w:rsid w:val="00DA20DD"/>
    <w:rsid w:val="00DA5B13"/>
    <w:rsid w:val="00DB3E5E"/>
    <w:rsid w:val="00DC076F"/>
    <w:rsid w:val="00DC376C"/>
    <w:rsid w:val="00DD032D"/>
    <w:rsid w:val="00DD2F5B"/>
    <w:rsid w:val="00DE56ED"/>
    <w:rsid w:val="00DF1C54"/>
    <w:rsid w:val="00DF27E0"/>
    <w:rsid w:val="00DF40B1"/>
    <w:rsid w:val="00E23A83"/>
    <w:rsid w:val="00E57C45"/>
    <w:rsid w:val="00E70EA9"/>
    <w:rsid w:val="00E8162F"/>
    <w:rsid w:val="00E84619"/>
    <w:rsid w:val="00E96F32"/>
    <w:rsid w:val="00EA1208"/>
    <w:rsid w:val="00EA319A"/>
    <w:rsid w:val="00EC0517"/>
    <w:rsid w:val="00EC2AA7"/>
    <w:rsid w:val="00EC3532"/>
    <w:rsid w:val="00ED06E5"/>
    <w:rsid w:val="00ED5C9C"/>
    <w:rsid w:val="00EE3AA3"/>
    <w:rsid w:val="00EF2FDD"/>
    <w:rsid w:val="00F15554"/>
    <w:rsid w:val="00F30D7C"/>
    <w:rsid w:val="00F322FA"/>
    <w:rsid w:val="00F44BA4"/>
    <w:rsid w:val="00F45A8D"/>
    <w:rsid w:val="00F507A2"/>
    <w:rsid w:val="00F64B7F"/>
    <w:rsid w:val="00F70E96"/>
    <w:rsid w:val="00F81714"/>
    <w:rsid w:val="00F87D4E"/>
    <w:rsid w:val="00FA5570"/>
    <w:rsid w:val="00FA752B"/>
    <w:rsid w:val="00FB1E71"/>
    <w:rsid w:val="00FB66C6"/>
    <w:rsid w:val="00FC1240"/>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BF9A1ED"/>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13"/>
    <w:lsdException w:name="caption"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3"/>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qFormat/>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2F7622"/>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rsid w:val="00176CC5"/>
  </w:style>
  <w:style w:type="paragraph" w:styleId="ListNumber2">
    <w:name w:val="List Number 2"/>
    <w:basedOn w:val="BodyText"/>
    <w:rsid w:val="00176CC5"/>
  </w:style>
  <w:style w:type="paragraph" w:styleId="ListNumber3">
    <w:name w:val="List Number 3"/>
    <w:basedOn w:val="BodyText"/>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uiPriority w:val="13"/>
    <w:rsid w:val="001E6893"/>
    <w:rPr>
      <w:rFonts w:ascii="Arial" w:hAnsi="Arial"/>
      <w:szCs w:val="24"/>
    </w:rPr>
  </w:style>
  <w:style w:type="paragraph" w:styleId="CommentText">
    <w:name w:val="annotation text"/>
    <w:basedOn w:val="Normal"/>
    <w:link w:val="CommentTextChar"/>
    <w:rsid w:val="00AF20C3"/>
    <w:pPr>
      <w:spacing w:line="240" w:lineRule="auto"/>
    </w:pPr>
    <w:rPr>
      <w:szCs w:val="20"/>
    </w:rPr>
  </w:style>
  <w:style w:type="character" w:customStyle="1" w:styleId="CommentTextChar">
    <w:name w:val="Comment Text Char"/>
    <w:basedOn w:val="DefaultParagraphFont"/>
    <w:link w:val="CommentText"/>
    <w:rsid w:val="00AF20C3"/>
    <w:rPr>
      <w:rFonts w:ascii="Arial" w:hAnsi="Arial"/>
    </w:rPr>
  </w:style>
  <w:style w:type="paragraph" w:styleId="CommentSubject">
    <w:name w:val="annotation subject"/>
    <w:basedOn w:val="CommentText"/>
    <w:next w:val="CommentText"/>
    <w:link w:val="CommentSubjectChar"/>
    <w:rsid w:val="00AF20C3"/>
    <w:rPr>
      <w:b/>
      <w:bCs/>
    </w:rPr>
  </w:style>
  <w:style w:type="character" w:customStyle="1" w:styleId="CommentSubjectChar">
    <w:name w:val="Comment Subject Char"/>
    <w:basedOn w:val="CommentTextChar"/>
    <w:link w:val="CommentSubject"/>
    <w:rsid w:val="00AF20C3"/>
    <w:rPr>
      <w:rFonts w:ascii="Arial" w:hAnsi="Arial"/>
      <w:b/>
      <w:bCs/>
    </w:rPr>
  </w:style>
  <w:style w:type="paragraph" w:styleId="BalloonText">
    <w:name w:val="Balloon Text"/>
    <w:basedOn w:val="Normal"/>
    <w:link w:val="BalloonTextChar"/>
    <w:rsid w:val="00AF2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F20C3"/>
    <w:rPr>
      <w:rFonts w:ascii="Segoe UI" w:hAnsi="Segoe UI" w:cs="Segoe UI"/>
      <w:sz w:val="18"/>
      <w:szCs w:val="18"/>
    </w:rPr>
  </w:style>
  <w:style w:type="paragraph" w:customStyle="1" w:styleId="Bulletedlist">
    <w:name w:val="Bulleted list"/>
    <w:basedOn w:val="TableBodyText"/>
    <w:qFormat/>
    <w:rsid w:val="00C97F79"/>
    <w:pPr>
      <w:keepNext/>
      <w:keepLines/>
      <w:numPr>
        <w:numId w:val="24"/>
      </w:numPr>
      <w:ind w:left="322" w:hanging="283"/>
    </w:pPr>
  </w:style>
  <w:style w:type="paragraph" w:customStyle="1" w:styleId="Numberedlist">
    <w:name w:val="Numbered list"/>
    <w:basedOn w:val="TableBodyText"/>
    <w:qFormat/>
    <w:rsid w:val="00D00DAB"/>
    <w:pPr>
      <w:numPr>
        <w:numId w:val="25"/>
      </w:numPr>
      <w:ind w:left="323" w:right="-198" w:hanging="323"/>
    </w:pPr>
  </w:style>
  <w:style w:type="paragraph" w:styleId="IntenseQuote">
    <w:name w:val="Intense Quote"/>
    <w:basedOn w:val="Normal"/>
    <w:next w:val="Normal"/>
    <w:link w:val="IntenseQuoteChar"/>
    <w:uiPriority w:val="30"/>
    <w:qFormat/>
    <w:rsid w:val="00D7178D"/>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7178D"/>
    <w:rPr>
      <w:rFonts w:ascii="Arial" w:hAnsi="Arial"/>
      <w:i/>
      <w:iCs/>
      <w:color w:val="5B9BD5" w:themeColor="accent1"/>
      <w:szCs w:val="24"/>
    </w:rPr>
  </w:style>
  <w:style w:type="paragraph" w:customStyle="1" w:styleId="PortfolioBullet">
    <w:name w:val="Portfolio_Bullet"/>
    <w:basedOn w:val="BodyText"/>
    <w:rsid w:val="00D96097"/>
    <w:pPr>
      <w:numPr>
        <w:numId w:val="30"/>
      </w:numPr>
    </w:pPr>
    <w:rPr>
      <w:rFonts w:cs="Times New Roman"/>
      <w:szCs w:val="24"/>
    </w:rPr>
  </w:style>
  <w:style w:type="paragraph" w:customStyle="1" w:styleId="PortfolioBullet2">
    <w:name w:val="Portfolio_Bullet2"/>
    <w:basedOn w:val="BodyText"/>
    <w:rsid w:val="00D96097"/>
    <w:pPr>
      <w:numPr>
        <w:ilvl w:val="1"/>
        <w:numId w:val="30"/>
      </w:numPr>
    </w:pPr>
    <w:rPr>
      <w:rFonts w:cs="Times New Roman"/>
      <w:szCs w:val="24"/>
    </w:rPr>
  </w:style>
  <w:style w:type="paragraph" w:customStyle="1" w:styleId="PortfolioBullet3">
    <w:name w:val="Portfolio_Bullet3"/>
    <w:basedOn w:val="Normal"/>
    <w:rsid w:val="00D96097"/>
    <w:pPr>
      <w:numPr>
        <w:ilvl w:val="2"/>
        <w:numId w:val="30"/>
      </w:numPr>
      <w:spacing w:after="0" w:line="240" w:lineRule="auto"/>
    </w:pPr>
  </w:style>
  <w:style w:type="paragraph" w:styleId="ListParagraph">
    <w:name w:val="List Paragraph"/>
    <w:basedOn w:val="Normal"/>
    <w:uiPriority w:val="34"/>
    <w:qFormat/>
    <w:rsid w:val="007B49FF"/>
    <w:pPr>
      <w:spacing w:after="0" w:line="240" w:lineRule="auto"/>
      <w:ind w:left="720"/>
      <w:contextualSpacing/>
    </w:pPr>
  </w:style>
  <w:style w:type="paragraph" w:customStyle="1" w:styleId="Default">
    <w:name w:val="Default"/>
    <w:rsid w:val="00D448A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1739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8155A-B3AD-4B8B-84F8-2AB720732F9B}">
  <ds:schemaRefs>
    <ds:schemaRef ds:uri="http://schemas.microsoft.com/office/2006/documentManagement/types"/>
    <ds:schemaRef ds:uri="http://purl.org/dc/dcmitype/"/>
    <ds:schemaRef ds:uri="http://schemas.openxmlformats.org/package/2006/metadata/core-properties"/>
    <ds:schemaRef ds:uri="http://purl.org/dc/elements/1.1/"/>
    <ds:schemaRef ds:uri="ec972935-d489-4a83-af2a-c34816ed2832"/>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E4BCB64E-5D00-4861-B766-2F6AE2E4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17</TotalTime>
  <Pages>15</Pages>
  <Words>2800</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CAC</vt:lpstr>
    </vt:vector>
  </TitlesOfParts>
  <Company>Department of Transport and Main Roads</Company>
  <LinksUpToDate>false</LinksUpToDate>
  <CharactersWithSpaces>19600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dc:title>
  <dc:subject/>
  <dc:creator>Department of Transport and Main Roads</dc:creator>
  <cp:keywords>Contract; CAS; Checklist</cp:keywords>
  <dc:description/>
  <cp:lastModifiedBy>Courtney M West</cp:lastModifiedBy>
  <cp:revision>9</cp:revision>
  <cp:lastPrinted>2013-06-20T03:17:00Z</cp:lastPrinted>
  <dcterms:created xsi:type="dcterms:W3CDTF">2019-12-23T03:55:00Z</dcterms:created>
  <dcterms:modified xsi:type="dcterms:W3CDTF">2020-01-15T00:20:00Z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