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6"/>
        <w:gridCol w:w="195"/>
        <w:gridCol w:w="55"/>
        <w:gridCol w:w="2431"/>
        <w:gridCol w:w="4426"/>
        <w:gridCol w:w="709"/>
        <w:gridCol w:w="1276"/>
      </w:tblGrid>
      <w:tr w:rsidR="000603B4" w:rsidTr="001626B9">
        <w:trPr>
          <w:cantSplit/>
          <w:trHeight w:hRule="exact" w:val="136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03B4" w:rsidRDefault="0016568C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80645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:rsidTr="001626B9">
        <w:trPr>
          <w:cantSplit/>
          <w:trHeight w:hRule="exact" w:val="514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181818" w:rsidP="002440B1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 w:rsidRPr="002440B1">
              <w:rPr>
                <w:rStyle w:val="InitialStyle1"/>
                <w:rFonts w:ascii="Arial" w:hAnsi="Arial"/>
                <w:b/>
                <w:sz w:val="40"/>
              </w:rPr>
              <w:t>Annexure MR</w:t>
            </w:r>
            <w:r w:rsidR="00D74E9C" w:rsidRPr="002440B1">
              <w:rPr>
                <w:rStyle w:val="InitialStyle1"/>
                <w:rFonts w:ascii="Arial" w:hAnsi="Arial"/>
                <w:b/>
                <w:sz w:val="40"/>
              </w:rPr>
              <w:t>T</w:t>
            </w:r>
            <w:r w:rsidR="000603B4" w:rsidRPr="002440B1">
              <w:rPr>
                <w:rStyle w:val="InitialStyle1"/>
                <w:rFonts w:ascii="Arial" w:hAnsi="Arial"/>
                <w:b/>
                <w:sz w:val="40"/>
              </w:rPr>
              <w:t>S</w:t>
            </w:r>
            <w:r w:rsidR="002440B1">
              <w:rPr>
                <w:rStyle w:val="InitialStyle1"/>
                <w:rFonts w:ascii="Arial" w:hAnsi="Arial"/>
                <w:b/>
                <w:sz w:val="40"/>
              </w:rPr>
              <w:t>68</w:t>
            </w:r>
            <w:r w:rsidR="000603B4" w:rsidRPr="002440B1">
              <w:rPr>
                <w:rStyle w:val="InitialStyle1"/>
                <w:rFonts w:ascii="Arial" w:hAnsi="Arial"/>
                <w:b/>
                <w:sz w:val="40"/>
              </w:rPr>
              <w:t>.1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rPr>
          <w:cantSplit/>
          <w:trHeight w:val="288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3B4" w:rsidRDefault="002440B1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 w:rsidRPr="002440B1">
              <w:rPr>
                <w:rStyle w:val="InitialStyle1"/>
                <w:rFonts w:ascii="Arial" w:hAnsi="Arial"/>
                <w:b/>
                <w:sz w:val="40"/>
              </w:rPr>
              <w:t>Dynamic Testing of Piles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rPr>
          <w:cantSplit/>
          <w:trHeight w:hRule="exact" w:val="283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rPr>
          <w:cantSplit/>
          <w:trHeight w:hRule="exact" w:val="397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rPr>
          <w:cantSplit/>
          <w:trHeight w:hRule="exact" w:val="283"/>
        </w:trPr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09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rPr>
          <w:cantSplit/>
          <w:trHeight w:hRule="exact" w:val="283"/>
        </w:trPr>
        <w:tc>
          <w:tcPr>
            <w:tcW w:w="95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1626B9">
        <w:trPr>
          <w:cantSplit/>
          <w:trHeight w:hRule="exact" w:val="680"/>
        </w:trPr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</w:t>
            </w:r>
            <w:r w:rsidR="00181818">
              <w:rPr>
                <w:rStyle w:val="InitialStyle1"/>
                <w:rFonts w:ascii="Arial" w:hAnsi="Arial"/>
                <w:b/>
                <w:sz w:val="22"/>
              </w:rPr>
              <w:t xml:space="preserve">he parent </w:t>
            </w:r>
            <w:r w:rsidR="00A87074">
              <w:rPr>
                <w:rStyle w:val="InitialStyle1"/>
                <w:rFonts w:ascii="Arial" w:hAnsi="Arial"/>
                <w:b/>
                <w:sz w:val="22"/>
              </w:rPr>
              <w:t xml:space="preserve">Technical </w:t>
            </w:r>
            <w:r w:rsidR="00181818" w:rsidRPr="002440B1">
              <w:rPr>
                <w:rStyle w:val="InitialStyle1"/>
                <w:rFonts w:ascii="Arial" w:hAnsi="Arial"/>
                <w:b/>
                <w:sz w:val="22"/>
              </w:rPr>
              <w:t>Specification MR</w:t>
            </w:r>
            <w:r w:rsidR="00D74E9C" w:rsidRPr="002440B1">
              <w:rPr>
                <w:rStyle w:val="InitialStyle1"/>
                <w:rFonts w:ascii="Arial" w:hAnsi="Arial"/>
                <w:b/>
                <w:sz w:val="22"/>
              </w:rPr>
              <w:t>T</w:t>
            </w:r>
            <w:r w:rsidR="00181818" w:rsidRPr="002440B1">
              <w:rPr>
                <w:rStyle w:val="InitialStyle1"/>
                <w:rFonts w:ascii="Arial" w:hAnsi="Arial"/>
                <w:b/>
                <w:sz w:val="22"/>
              </w:rPr>
              <w:t>S</w:t>
            </w:r>
            <w:r w:rsidR="00FF5E49" w:rsidRPr="002440B1">
              <w:rPr>
                <w:rStyle w:val="InitialStyle1"/>
                <w:rFonts w:ascii="Arial" w:hAnsi="Arial"/>
                <w:b/>
                <w:sz w:val="22"/>
              </w:rPr>
              <w:t>6</w:t>
            </w:r>
            <w:r w:rsidR="002440B1" w:rsidRPr="002440B1">
              <w:rPr>
                <w:rStyle w:val="InitialStyle1"/>
                <w:rFonts w:ascii="Arial" w:hAnsi="Arial"/>
                <w:b/>
                <w:sz w:val="22"/>
              </w:rPr>
              <w:t>8</w:t>
            </w:r>
            <w:r w:rsidRPr="002440B1">
              <w:rPr>
                <w:rStyle w:val="InitialStyle1"/>
                <w:rFonts w:ascii="Arial" w:hAnsi="Arial"/>
                <w:b/>
                <w:sz w:val="22"/>
              </w:rPr>
              <w:t xml:space="preserve"> unless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otherwise noted.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2440B1" w:rsidRPr="002440B1" w:rsidTr="001626B9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  <w:trHeight w:hRule="exact" w:val="283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0B1" w:rsidRPr="002440B1" w:rsidRDefault="002440B1" w:rsidP="00B401EA">
            <w:pPr>
              <w:pStyle w:val="DefaultText"/>
              <w:rPr>
                <w:rStyle w:val="AnnexStyle1"/>
                <w:rFonts w:ascii="Arial" w:hAnsi="Arial" w:cs="Arial"/>
                <w:lang w:val="en-AU"/>
              </w:rPr>
            </w:pPr>
          </w:p>
        </w:tc>
      </w:tr>
      <w:tr w:rsidR="002440B1" w:rsidRPr="002440B1" w:rsidTr="001626B9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  <w:trHeight w:hRule="exact" w:val="456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0B1" w:rsidRPr="001626B9" w:rsidRDefault="002440B1" w:rsidP="00A87074">
            <w:pPr>
              <w:pStyle w:val="Heading1"/>
              <w:ind w:left="0" w:firstLine="0"/>
              <w:rPr>
                <w:rStyle w:val="AnnexStyle1"/>
                <w:rFonts w:ascii="Arial" w:hAnsi="Arial"/>
                <w:sz w:val="22"/>
                <w:szCs w:val="22"/>
              </w:rPr>
            </w:pP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>N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umber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of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P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iles to be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D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ynamically Tested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(Clause 6)</w:t>
            </w:r>
          </w:p>
        </w:tc>
      </w:tr>
      <w:tr w:rsidR="002440B1" w:rsidRPr="002440B1" w:rsidTr="001626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  <w:trHeight w:hRule="exact" w:val="56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40B1" w:rsidRPr="002440B1" w:rsidRDefault="002440B1" w:rsidP="00B401E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b/>
                <w:lang w:val="en-AU"/>
              </w:rPr>
            </w:pPr>
          </w:p>
        </w:tc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440B1" w:rsidRPr="001626B9" w:rsidRDefault="002440B1" w:rsidP="002440B1">
            <w:pPr>
              <w:pStyle w:val="DefaultText"/>
              <w:spacing w:before="60" w:after="60"/>
              <w:ind w:left="195"/>
              <w:jc w:val="both"/>
              <w:rPr>
                <w:rStyle w:val="AnnexStyle1"/>
                <w:rFonts w:ascii="Arial" w:hAnsi="Arial" w:cs="Arial"/>
                <w:sz w:val="20"/>
                <w:lang w:val="en-AU"/>
              </w:rPr>
            </w:pPr>
            <w:r w:rsidRPr="001626B9">
              <w:rPr>
                <w:rStyle w:val="InitialStyle1"/>
                <w:rFonts w:ascii="Arial" w:hAnsi="Arial" w:cs="Arial"/>
                <w:sz w:val="20"/>
              </w:rPr>
              <w:t>The number of piles to be dynamically tested shall 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0B1" w:rsidRPr="002440B1" w:rsidRDefault="002440B1" w:rsidP="00B401EA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lang w:val="en-AU"/>
              </w:rPr>
            </w:pPr>
          </w:p>
        </w:tc>
      </w:tr>
      <w:tr w:rsidR="002440B1" w:rsidRPr="002440B1" w:rsidTr="001626B9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977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0B1" w:rsidRPr="001626B9" w:rsidRDefault="002440B1" w:rsidP="00B8654E">
            <w:pPr>
              <w:pStyle w:val="Heading1"/>
              <w:spacing w:before="60" w:after="60"/>
              <w:rPr>
                <w:rStyle w:val="InitialStyle1"/>
                <w:rFonts w:ascii="Arial" w:hAnsi="Arial"/>
                <w:sz w:val="22"/>
                <w:szCs w:val="22"/>
              </w:rPr>
            </w:pP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>L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ocation of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P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iles to be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D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ynamically Tested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(Clause 6)</w:t>
            </w:r>
          </w:p>
          <w:p w:rsidR="002440B1" w:rsidRPr="001626B9" w:rsidRDefault="002440B1" w:rsidP="00A87074">
            <w:pPr>
              <w:pStyle w:val="DefaultText"/>
              <w:spacing w:before="120" w:after="120"/>
              <w:ind w:left="601"/>
              <w:rPr>
                <w:rStyle w:val="InitialStyle1"/>
                <w:rFonts w:ascii="Arial" w:hAnsi="Arial" w:cs="Arial"/>
                <w:sz w:val="20"/>
              </w:rPr>
            </w:pPr>
            <w:r w:rsidRPr="002440B1">
              <w:rPr>
                <w:rStyle w:val="InitialStyle1"/>
                <w:rFonts w:ascii="Arial" w:hAnsi="Arial" w:cs="Arial"/>
                <w:b/>
                <w:sz w:val="22"/>
              </w:rPr>
              <w:tab/>
            </w:r>
            <w:r w:rsidRPr="001626B9">
              <w:rPr>
                <w:rStyle w:val="InitialStyle1"/>
                <w:rFonts w:ascii="Arial" w:hAnsi="Arial" w:cs="Arial"/>
                <w:sz w:val="20"/>
              </w:rPr>
              <w:t>Piles in the following locations shall be dynamically tested. Where no locations are stated below, piles to be tested will be nominated by the Administrator.</w:t>
            </w:r>
          </w:p>
          <w:p w:rsidR="00A065CF" w:rsidRPr="002440B1" w:rsidRDefault="00A065CF" w:rsidP="00A87074">
            <w:pPr>
              <w:pStyle w:val="DefaultText"/>
              <w:spacing w:before="120" w:after="120"/>
              <w:ind w:left="601"/>
              <w:rPr>
                <w:rStyle w:val="AnnexStyle1"/>
                <w:rFonts w:ascii="Arial" w:hAnsi="Arial" w:cs="Arial"/>
                <w:lang w:val="en-AU"/>
              </w:rPr>
            </w:pPr>
            <w:r w:rsidRPr="001626B9">
              <w:rPr>
                <w:rStyle w:val="InitialStyle1"/>
                <w:rFonts w:ascii="Arial" w:hAnsi="Arial" w:cs="Arial"/>
                <w:sz w:val="20"/>
              </w:rPr>
              <w:t>The number of piles to be dynamically tested may be increased by the</w:t>
            </w:r>
            <w:r w:rsidR="00A87074" w:rsidRPr="001626B9">
              <w:rPr>
                <w:rStyle w:val="InitialStyle1"/>
                <w:rFonts w:ascii="Arial" w:hAnsi="Arial" w:cs="Arial"/>
                <w:sz w:val="20"/>
              </w:rPr>
              <w:t xml:space="preserve"> requirements of MRTS65 or MRTS</w:t>
            </w:r>
            <w:r w:rsidRPr="001626B9">
              <w:rPr>
                <w:rStyle w:val="InitialStyle1"/>
                <w:rFonts w:ascii="Arial" w:hAnsi="Arial" w:cs="Arial"/>
                <w:sz w:val="20"/>
              </w:rPr>
              <w:t xml:space="preserve">66 where the contractor elects to use a different hammer than the </w:t>
            </w:r>
            <w:r w:rsidR="00376D7B" w:rsidRPr="001626B9">
              <w:rPr>
                <w:rStyle w:val="InitialStyle1"/>
                <w:rFonts w:ascii="Arial" w:hAnsi="Arial" w:cs="Arial"/>
                <w:sz w:val="20"/>
              </w:rPr>
              <w:t>design</w:t>
            </w:r>
            <w:r w:rsidRPr="001626B9">
              <w:rPr>
                <w:rStyle w:val="InitialStyle1"/>
                <w:rFonts w:ascii="Arial" w:hAnsi="Arial" w:cs="Arial"/>
                <w:sz w:val="20"/>
              </w:rPr>
              <w:t xml:space="preserve"> hammer.</w:t>
            </w:r>
          </w:p>
        </w:tc>
      </w:tr>
      <w:tr w:rsidR="002440B1" w:rsidRPr="002440B1" w:rsidTr="001626B9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  <w:trHeight w:hRule="exact" w:val="2691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440B1" w:rsidRPr="002440B1" w:rsidRDefault="002440B1" w:rsidP="00B401E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lang w:val="en-AU"/>
              </w:rPr>
            </w:pPr>
          </w:p>
        </w:tc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2440B1" w:rsidRPr="002440B1" w:rsidRDefault="002440B1" w:rsidP="00B401E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lang w:val="en-AU"/>
              </w:rPr>
            </w:pPr>
          </w:p>
        </w:tc>
      </w:tr>
      <w:tr w:rsidR="002440B1" w:rsidRPr="002440B1" w:rsidTr="001626B9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0B1" w:rsidRPr="002440B1" w:rsidRDefault="002440B1" w:rsidP="00B401EA">
            <w:pPr>
              <w:pStyle w:val="DefaultText"/>
              <w:rPr>
                <w:rStyle w:val="AnnexStyle1"/>
                <w:rFonts w:ascii="Arial" w:hAnsi="Arial" w:cs="Arial"/>
                <w:lang w:val="en-AU"/>
              </w:rPr>
            </w:pPr>
          </w:p>
        </w:tc>
      </w:tr>
      <w:tr w:rsidR="002440B1" w:rsidRPr="001626B9" w:rsidTr="001626B9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977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0B1" w:rsidRPr="001626B9" w:rsidRDefault="002440B1" w:rsidP="00B8654E">
            <w:pPr>
              <w:pStyle w:val="Heading1"/>
              <w:spacing w:before="60" w:after="60"/>
              <w:rPr>
                <w:rStyle w:val="InitialStyle1"/>
                <w:rFonts w:ascii="Arial" w:hAnsi="Arial"/>
                <w:sz w:val="22"/>
                <w:szCs w:val="22"/>
              </w:rPr>
            </w:pP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>S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upplementary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R</w:t>
            </w:r>
            <w:r w:rsidR="00A87074" w:rsidRPr="001626B9">
              <w:rPr>
                <w:rStyle w:val="InitialStyle1"/>
                <w:rFonts w:ascii="Arial" w:hAnsi="Arial"/>
                <w:sz w:val="22"/>
                <w:szCs w:val="22"/>
              </w:rPr>
              <w:t>equirements</w:t>
            </w:r>
            <w:r w:rsidRPr="001626B9">
              <w:rPr>
                <w:rStyle w:val="InitialStyle1"/>
                <w:rFonts w:ascii="Arial" w:hAnsi="Arial"/>
                <w:sz w:val="22"/>
                <w:szCs w:val="22"/>
              </w:rPr>
              <w:t xml:space="preserve"> (Clause 12)</w:t>
            </w:r>
          </w:p>
          <w:p w:rsidR="002440B1" w:rsidRPr="001626B9" w:rsidRDefault="002440B1" w:rsidP="00A87074">
            <w:pPr>
              <w:pStyle w:val="DefaultText"/>
              <w:spacing w:before="60" w:after="60"/>
              <w:ind w:left="601"/>
              <w:rPr>
                <w:rStyle w:val="AnnexStyle1"/>
                <w:rFonts w:ascii="Arial" w:hAnsi="Arial" w:cs="Arial"/>
                <w:sz w:val="20"/>
                <w:lang w:val="en-AU"/>
              </w:rPr>
            </w:pPr>
            <w:r w:rsidRPr="001626B9">
              <w:rPr>
                <w:rStyle w:val="InitialStyle1"/>
                <w:rFonts w:ascii="Arial" w:hAnsi="Arial" w:cs="Arial"/>
                <w:sz w:val="20"/>
              </w:rPr>
              <w:t>The following supplementary requirements shall apply.</w:t>
            </w:r>
          </w:p>
        </w:tc>
      </w:tr>
      <w:tr w:rsidR="002440B1" w:rsidRPr="002440B1" w:rsidTr="001626B9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  <w:trHeight w:hRule="exact" w:val="233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440B1" w:rsidRPr="002440B1" w:rsidRDefault="002440B1" w:rsidP="00B401E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lang w:val="en-AU"/>
              </w:rPr>
            </w:pPr>
          </w:p>
        </w:tc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</w:tcPr>
          <w:p w:rsidR="002440B1" w:rsidRPr="002440B1" w:rsidRDefault="002440B1" w:rsidP="00B401E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lang w:val="en-AU"/>
              </w:rPr>
            </w:pPr>
          </w:p>
        </w:tc>
      </w:tr>
    </w:tbl>
    <w:p w:rsidR="002440B1" w:rsidRPr="00D74E9C" w:rsidRDefault="002440B1" w:rsidP="00703672">
      <w:pPr>
        <w:pStyle w:val="PlainText"/>
        <w:rPr>
          <w:rFonts w:ascii="Arial" w:hAnsi="Arial" w:cs="Arial"/>
        </w:rPr>
      </w:pPr>
    </w:p>
    <w:sectPr w:rsidR="002440B1" w:rsidRPr="00D74E9C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29" w:rsidRDefault="00167A29" w:rsidP="00FA0C42">
      <w:r>
        <w:separator/>
      </w:r>
    </w:p>
  </w:endnote>
  <w:endnote w:type="continuationSeparator" w:id="0">
    <w:p w:rsidR="00167A29" w:rsidRDefault="00167A29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</w:tblGrid>
    <w:tr w:rsidR="00641FF2" w:rsidRPr="00464CF7" w:rsidTr="00464CF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:rsidR="00641FF2" w:rsidRPr="00464CF7" w:rsidRDefault="00641FF2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464CF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464CF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464CF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464CF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184530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:rsidR="00641FF2" w:rsidRPr="00464CF7" w:rsidRDefault="00641FF2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:rsidR="00641FF2" w:rsidRPr="00464CF7" w:rsidRDefault="00641FF2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:rsidR="00641FF2" w:rsidRPr="0043172E" w:rsidRDefault="00641FF2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2" w:rsidRPr="009E5C89" w:rsidRDefault="00641FF2" w:rsidP="00AF5CEE">
    <w:pPr>
      <w:pStyle w:val="Footer"/>
      <w:tabs>
        <w:tab w:val="clear" w:pos="8640"/>
        <w:tab w:val="right" w:pos="9072"/>
      </w:tabs>
    </w:pPr>
    <w:r>
      <w:rPr>
        <w:rFonts w:ascii="Arial" w:hAnsi="Arial" w:cs="Arial"/>
        <w:noProof/>
        <w:sz w:val="18"/>
        <w:szCs w:val="18"/>
      </w:rPr>
      <w:t xml:space="preserve">Transport and </w:t>
    </w:r>
    <w:r w:rsidRPr="0092310E">
      <w:rPr>
        <w:rFonts w:ascii="Arial" w:hAnsi="Arial" w:cs="Arial"/>
        <w:noProof/>
        <w:sz w:val="18"/>
        <w:szCs w:val="18"/>
      </w:rPr>
      <w:t xml:space="preserve">Main Roads </w:t>
    </w:r>
    <w:r w:rsidRPr="002440B1">
      <w:rPr>
        <w:rFonts w:ascii="Arial" w:hAnsi="Arial" w:cs="Arial"/>
        <w:noProof/>
        <w:sz w:val="18"/>
        <w:szCs w:val="18"/>
      </w:rPr>
      <w:t xml:space="preserve">Specifications, </w:t>
    </w:r>
    <w:r w:rsidR="001626B9">
      <w:rPr>
        <w:rFonts w:ascii="Arial" w:hAnsi="Arial" w:cs="Arial"/>
        <w:noProof/>
        <w:sz w:val="18"/>
        <w:szCs w:val="18"/>
      </w:rPr>
      <w:t>October</w:t>
    </w:r>
    <w:r w:rsidR="00403E2A">
      <w:rPr>
        <w:rFonts w:ascii="Arial" w:hAnsi="Arial" w:cs="Arial"/>
        <w:noProof/>
        <w:sz w:val="18"/>
        <w:szCs w:val="18"/>
      </w:rPr>
      <w:t xml:space="preserve"> 201</w:t>
    </w:r>
    <w:r w:rsidR="00184530">
      <w:rPr>
        <w:rFonts w:ascii="Arial" w:hAnsi="Arial" w:cs="Arial"/>
        <w:noProof/>
        <w:sz w:val="18"/>
        <w:szCs w:val="18"/>
      </w:rPr>
      <w:t>6</w:t>
    </w:r>
    <w: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D02028">
      <w:rPr>
        <w:rStyle w:val="PageNumber"/>
        <w:rFonts w:ascii="Arial" w:hAnsi="Arial" w:cs="Arial"/>
        <w:noProof/>
        <w:sz w:val="18"/>
        <w:szCs w:val="18"/>
      </w:rPr>
      <w:t>1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28" w:rsidRDefault="00D0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29" w:rsidRDefault="00167A29" w:rsidP="00FA0C42">
      <w:r>
        <w:separator/>
      </w:r>
    </w:p>
  </w:footnote>
  <w:footnote w:type="continuationSeparator" w:id="0">
    <w:p w:rsidR="00167A29" w:rsidRDefault="00167A29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2" w:rsidRDefault="00D02028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71529" o:spid="_x0000_s2059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641FF2">
      <w:rPr>
        <w:rFonts w:ascii="Arial" w:hAnsi="Arial" w:cs="Arial"/>
        <w:b/>
        <w:lang w:val="en-AU"/>
      </w:rPr>
      <w:t>MRTS04.1</w:t>
    </w:r>
    <w:r w:rsidR="00641FF2">
      <w:rPr>
        <w:rFonts w:ascii="Arial" w:hAnsi="Arial" w:cs="Arial"/>
        <w:b/>
        <w:lang w:val="en-AU"/>
      </w:rPr>
      <w:tab/>
      <w:t xml:space="preserve">Department of </w:t>
    </w:r>
    <w:r w:rsidR="00641FF2" w:rsidRPr="00153956">
      <w:rPr>
        <w:rFonts w:ascii="Arial" w:hAnsi="Arial" w:cs="Arial"/>
        <w:b/>
        <w:lang w:val="en-AU"/>
      </w:rPr>
      <w:t>Main Roads</w:t>
    </w:r>
  </w:p>
  <w:p w:rsidR="00641FF2" w:rsidRDefault="00641FF2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:rsidR="00641FF2" w:rsidRPr="00153956" w:rsidRDefault="00641FF2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2" w:rsidRPr="00A87074" w:rsidRDefault="00D02028" w:rsidP="00A8707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71530" o:spid="_x0000_s2060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641FF2">
      <w:t xml:space="preserve">Technical </w:t>
    </w:r>
    <w:r w:rsidR="00641FF2" w:rsidRPr="006A3DE9">
      <w:t>S</w:t>
    </w:r>
    <w:r w:rsidR="00641FF2">
      <w:t>pecification Annexure</w:t>
    </w:r>
    <w:r w:rsidR="00641FF2" w:rsidRPr="002440B1">
      <w:t>, MRTS68.1 Dynamic Testing of Piles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B7" w:rsidRDefault="00D02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71528" o:spid="_x0000_s2058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9A1ED73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CD420E9C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D67C0E5E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4447C92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58F4E5E2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BE2629CA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7DD4ACE2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3CD490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2E5CC40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4DAAFC84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2DDE56DD"/>
    <w:multiLevelType w:val="multilevel"/>
    <w:tmpl w:val="2BFCEC2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8"/>
    <w:rsid w:val="00002E49"/>
    <w:rsid w:val="00025616"/>
    <w:rsid w:val="00032573"/>
    <w:rsid w:val="0003505C"/>
    <w:rsid w:val="0005622F"/>
    <w:rsid w:val="000603B4"/>
    <w:rsid w:val="00085B70"/>
    <w:rsid w:val="00096D49"/>
    <w:rsid w:val="000A361F"/>
    <w:rsid w:val="000A3C7C"/>
    <w:rsid w:val="000B404D"/>
    <w:rsid w:val="000E4314"/>
    <w:rsid w:val="000E60BF"/>
    <w:rsid w:val="000F077C"/>
    <w:rsid w:val="000F2550"/>
    <w:rsid w:val="000F363E"/>
    <w:rsid w:val="001010E3"/>
    <w:rsid w:val="00115888"/>
    <w:rsid w:val="00122F35"/>
    <w:rsid w:val="00153956"/>
    <w:rsid w:val="001565F9"/>
    <w:rsid w:val="001626B9"/>
    <w:rsid w:val="0016568C"/>
    <w:rsid w:val="00167A29"/>
    <w:rsid w:val="00167B94"/>
    <w:rsid w:val="00181818"/>
    <w:rsid w:val="00184530"/>
    <w:rsid w:val="00187748"/>
    <w:rsid w:val="001A3FCF"/>
    <w:rsid w:val="001B1EAF"/>
    <w:rsid w:val="001C0E26"/>
    <w:rsid w:val="001C296A"/>
    <w:rsid w:val="001D4F40"/>
    <w:rsid w:val="001F0AE5"/>
    <w:rsid w:val="001F4426"/>
    <w:rsid w:val="00200775"/>
    <w:rsid w:val="00211A59"/>
    <w:rsid w:val="00227F44"/>
    <w:rsid w:val="002440B1"/>
    <w:rsid w:val="00262040"/>
    <w:rsid w:val="002724FE"/>
    <w:rsid w:val="00277D47"/>
    <w:rsid w:val="002825A1"/>
    <w:rsid w:val="00292048"/>
    <w:rsid w:val="00296B0C"/>
    <w:rsid w:val="002E0C67"/>
    <w:rsid w:val="002F19BC"/>
    <w:rsid w:val="002F6BCF"/>
    <w:rsid w:val="00305858"/>
    <w:rsid w:val="00312736"/>
    <w:rsid w:val="0032654B"/>
    <w:rsid w:val="00353DF8"/>
    <w:rsid w:val="00355DA2"/>
    <w:rsid w:val="00376D7B"/>
    <w:rsid w:val="003D24EE"/>
    <w:rsid w:val="003F3888"/>
    <w:rsid w:val="00403E2A"/>
    <w:rsid w:val="00413DB8"/>
    <w:rsid w:val="00423923"/>
    <w:rsid w:val="00426041"/>
    <w:rsid w:val="00430434"/>
    <w:rsid w:val="0043172E"/>
    <w:rsid w:val="00451996"/>
    <w:rsid w:val="00464CF7"/>
    <w:rsid w:val="00475236"/>
    <w:rsid w:val="00483D65"/>
    <w:rsid w:val="004873DD"/>
    <w:rsid w:val="004941D0"/>
    <w:rsid w:val="00494203"/>
    <w:rsid w:val="00497148"/>
    <w:rsid w:val="004A019C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10A68"/>
    <w:rsid w:val="00560D0E"/>
    <w:rsid w:val="005718D4"/>
    <w:rsid w:val="005A0F8B"/>
    <w:rsid w:val="005D0E0F"/>
    <w:rsid w:val="005D77C6"/>
    <w:rsid w:val="005E5E51"/>
    <w:rsid w:val="005F6103"/>
    <w:rsid w:val="005F72C9"/>
    <w:rsid w:val="00611FB7"/>
    <w:rsid w:val="00616528"/>
    <w:rsid w:val="00641FF2"/>
    <w:rsid w:val="006425AF"/>
    <w:rsid w:val="006555CC"/>
    <w:rsid w:val="00656653"/>
    <w:rsid w:val="0066465B"/>
    <w:rsid w:val="0067067C"/>
    <w:rsid w:val="006901C6"/>
    <w:rsid w:val="00691575"/>
    <w:rsid w:val="0069752F"/>
    <w:rsid w:val="006A09A8"/>
    <w:rsid w:val="006A7863"/>
    <w:rsid w:val="006B42D5"/>
    <w:rsid w:val="006E629E"/>
    <w:rsid w:val="006F16E0"/>
    <w:rsid w:val="006F1F09"/>
    <w:rsid w:val="006F311B"/>
    <w:rsid w:val="006F4C6C"/>
    <w:rsid w:val="00703672"/>
    <w:rsid w:val="00740ADB"/>
    <w:rsid w:val="00760360"/>
    <w:rsid w:val="00783529"/>
    <w:rsid w:val="007851A5"/>
    <w:rsid w:val="007854E5"/>
    <w:rsid w:val="00791885"/>
    <w:rsid w:val="007968F4"/>
    <w:rsid w:val="007C4BA5"/>
    <w:rsid w:val="007C7D87"/>
    <w:rsid w:val="007E3F86"/>
    <w:rsid w:val="007E7D28"/>
    <w:rsid w:val="00812586"/>
    <w:rsid w:val="00837983"/>
    <w:rsid w:val="008469A0"/>
    <w:rsid w:val="008471A9"/>
    <w:rsid w:val="00877658"/>
    <w:rsid w:val="008871A4"/>
    <w:rsid w:val="008A10FE"/>
    <w:rsid w:val="008A5F8D"/>
    <w:rsid w:val="008C5169"/>
    <w:rsid w:val="008D08DD"/>
    <w:rsid w:val="008D2468"/>
    <w:rsid w:val="008D4D8C"/>
    <w:rsid w:val="00907163"/>
    <w:rsid w:val="0092310E"/>
    <w:rsid w:val="00936FD3"/>
    <w:rsid w:val="0094219A"/>
    <w:rsid w:val="009466D4"/>
    <w:rsid w:val="009A0778"/>
    <w:rsid w:val="009E771B"/>
    <w:rsid w:val="009F2C13"/>
    <w:rsid w:val="00A059EE"/>
    <w:rsid w:val="00A064FE"/>
    <w:rsid w:val="00A065CF"/>
    <w:rsid w:val="00A07065"/>
    <w:rsid w:val="00A17B67"/>
    <w:rsid w:val="00A30A58"/>
    <w:rsid w:val="00A451D1"/>
    <w:rsid w:val="00A527EA"/>
    <w:rsid w:val="00A61477"/>
    <w:rsid w:val="00A721C8"/>
    <w:rsid w:val="00A84096"/>
    <w:rsid w:val="00A87074"/>
    <w:rsid w:val="00A94094"/>
    <w:rsid w:val="00AD08F2"/>
    <w:rsid w:val="00AE5403"/>
    <w:rsid w:val="00AE6B41"/>
    <w:rsid w:val="00AF0279"/>
    <w:rsid w:val="00AF5CEE"/>
    <w:rsid w:val="00B033ED"/>
    <w:rsid w:val="00B401EA"/>
    <w:rsid w:val="00B507E1"/>
    <w:rsid w:val="00B53ED4"/>
    <w:rsid w:val="00B61871"/>
    <w:rsid w:val="00B6312E"/>
    <w:rsid w:val="00B728E1"/>
    <w:rsid w:val="00B77C77"/>
    <w:rsid w:val="00B81D9B"/>
    <w:rsid w:val="00B82304"/>
    <w:rsid w:val="00B8654E"/>
    <w:rsid w:val="00B92B67"/>
    <w:rsid w:val="00BA5B01"/>
    <w:rsid w:val="00BD1528"/>
    <w:rsid w:val="00BE467F"/>
    <w:rsid w:val="00C01230"/>
    <w:rsid w:val="00C05A4C"/>
    <w:rsid w:val="00C07816"/>
    <w:rsid w:val="00C2109F"/>
    <w:rsid w:val="00C333B0"/>
    <w:rsid w:val="00C33F7B"/>
    <w:rsid w:val="00C35696"/>
    <w:rsid w:val="00CA6D0D"/>
    <w:rsid w:val="00CC799A"/>
    <w:rsid w:val="00CE0D7E"/>
    <w:rsid w:val="00CF5244"/>
    <w:rsid w:val="00CF675B"/>
    <w:rsid w:val="00D02028"/>
    <w:rsid w:val="00D053E4"/>
    <w:rsid w:val="00D2145F"/>
    <w:rsid w:val="00D23DE1"/>
    <w:rsid w:val="00D244F0"/>
    <w:rsid w:val="00D26086"/>
    <w:rsid w:val="00D32F2B"/>
    <w:rsid w:val="00D459E0"/>
    <w:rsid w:val="00D74E9C"/>
    <w:rsid w:val="00D770C4"/>
    <w:rsid w:val="00D82AC5"/>
    <w:rsid w:val="00D93695"/>
    <w:rsid w:val="00D9438A"/>
    <w:rsid w:val="00DB1DAA"/>
    <w:rsid w:val="00DB3473"/>
    <w:rsid w:val="00DC3F46"/>
    <w:rsid w:val="00DD0123"/>
    <w:rsid w:val="00DF0267"/>
    <w:rsid w:val="00DF05AC"/>
    <w:rsid w:val="00DF1153"/>
    <w:rsid w:val="00DF6C10"/>
    <w:rsid w:val="00E11D2A"/>
    <w:rsid w:val="00E46F8D"/>
    <w:rsid w:val="00E64913"/>
    <w:rsid w:val="00E67FA4"/>
    <w:rsid w:val="00E73D04"/>
    <w:rsid w:val="00E874C2"/>
    <w:rsid w:val="00EA2BF1"/>
    <w:rsid w:val="00EE1138"/>
    <w:rsid w:val="00EF5B93"/>
    <w:rsid w:val="00EF68EE"/>
    <w:rsid w:val="00F11EE5"/>
    <w:rsid w:val="00F26FE3"/>
    <w:rsid w:val="00F320D3"/>
    <w:rsid w:val="00F44E76"/>
    <w:rsid w:val="00F64740"/>
    <w:rsid w:val="00F8306C"/>
    <w:rsid w:val="00F83077"/>
    <w:rsid w:val="00F913C8"/>
    <w:rsid w:val="00F928DA"/>
    <w:rsid w:val="00FA0C42"/>
    <w:rsid w:val="00FA3F4E"/>
    <w:rsid w:val="00FB022E"/>
    <w:rsid w:val="00FB439C"/>
    <w:rsid w:val="00FD1D65"/>
    <w:rsid w:val="00FD5579"/>
    <w:rsid w:val="00FF49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BFA9D2EE-2559-4A9F-8B9A-C9AE252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FigureTitle1">
    <w:name w:val="FigureTitle:1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Equals1">
    <w:name w:val="Equals:1"/>
    <w:rPr>
      <w:rFonts w:ascii="Times New Roman" w:hAnsi="Times New Roman"/>
      <w:color w:val="000000"/>
      <w:spacing w:val="0"/>
      <w:sz w:val="22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FigurCaption1">
    <w:name w:val="FigurCaption:1"/>
    <w:rPr>
      <w:b/>
      <w:i/>
      <w:color w:val="000000"/>
      <w:spacing w:val="0"/>
      <w:sz w:val="22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FigureTitle">
    <w:name w:val="FigureTitle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FigurCaption">
    <w:name w:val="FigurCaption"/>
    <w:rPr>
      <w:b/>
      <w:i/>
      <w:color w:val="000000"/>
      <w:spacing w:val="0"/>
      <w:sz w:val="22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Equals">
    <w:name w:val="Equals"/>
    <w:rPr>
      <w:rFonts w:ascii="Times New Roman" w:hAnsi="Times New Roman"/>
      <w:color w:val="000000"/>
      <w:spacing w:val="0"/>
      <w:sz w:val="22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Hyperlink">
    <w:name w:val="Hyperlink"/>
    <w:uiPriority w:val="99"/>
    <w:unhideWhenUsed/>
    <w:rsid w:val="0070367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67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7036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MRTS68.1 Annexure</vt:lpstr>
    </vt:vector>
  </TitlesOfParts>
  <Company>Department of Transport and Main Roads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MRTS68.1 Annexure</dc:title>
  <dc:subject>Dynamic Testing of Piles</dc:subject>
  <dc:creator>Department of Transport and Main Roads</dc:creator>
  <cp:keywords>Specification, Technical, Standard, Contract, Tender, Construction, Design</cp:keywords>
  <cp:lastModifiedBy>Irane Fernando</cp:lastModifiedBy>
  <cp:revision>4</cp:revision>
  <cp:lastPrinted>2016-02-03T01:22:00Z</cp:lastPrinted>
  <dcterms:created xsi:type="dcterms:W3CDTF">2016-10-13T06:11:00Z</dcterms:created>
  <dcterms:modified xsi:type="dcterms:W3CDTF">2017-07-06T23:22:00Z</dcterms:modified>
  <cp:category>Annexures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S_CONTRACT_NUMBER">
    <vt:lpwstr> </vt:lpwstr>
  </property>
  <property fmtid="{D5CDD505-2E9C-101B-9397-08002B2CF9AE}" pid="3" name="WMS_Title">
    <vt:lpwstr>MRTS01.1 - Introduction to Technical Standards Annexure</vt:lpwstr>
  </property>
  <property fmtid="{D5CDD505-2E9C-101B-9397-08002B2CF9AE}" pid="4" name="WMS_Version">
    <vt:lpwstr>Apr 11</vt:lpwstr>
  </property>
</Properties>
</file>