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7E1A" w14:textId="77777777" w:rsidR="00F07C8F" w:rsidRDefault="00F07C8F" w:rsidP="001E0DFF">
      <w:pPr>
        <w:rPr>
          <w:b/>
          <w:bCs/>
          <w:sz w:val="28"/>
          <w:szCs w:val="32"/>
        </w:rPr>
      </w:pPr>
    </w:p>
    <w:p w14:paraId="65B5801B" w14:textId="77777777" w:rsidR="00F07C8F" w:rsidRDefault="00F07C8F" w:rsidP="001E0DFF">
      <w:pPr>
        <w:rPr>
          <w:b/>
          <w:bCs/>
          <w:sz w:val="28"/>
          <w:szCs w:val="32"/>
        </w:rPr>
      </w:pPr>
    </w:p>
    <w:p w14:paraId="507B9E1E" w14:textId="77777777" w:rsidR="00F07C8F" w:rsidRDefault="00F07C8F" w:rsidP="001E0DFF">
      <w:pPr>
        <w:rPr>
          <w:b/>
          <w:bCs/>
          <w:sz w:val="28"/>
          <w:szCs w:val="32"/>
        </w:rPr>
      </w:pPr>
    </w:p>
    <w:p w14:paraId="5C631180" w14:textId="77777777" w:rsidR="00F07C8F" w:rsidRDefault="00F07C8F" w:rsidP="001E0DFF">
      <w:pPr>
        <w:rPr>
          <w:b/>
          <w:bCs/>
          <w:sz w:val="28"/>
          <w:szCs w:val="32"/>
        </w:rPr>
      </w:pPr>
    </w:p>
    <w:p w14:paraId="1558C43A" w14:textId="77777777" w:rsidR="00F07C8F" w:rsidRDefault="00F07C8F" w:rsidP="001E0DFF">
      <w:pPr>
        <w:rPr>
          <w:b/>
          <w:bCs/>
          <w:sz w:val="28"/>
          <w:szCs w:val="32"/>
        </w:rPr>
      </w:pPr>
    </w:p>
    <w:p w14:paraId="26308404" w14:textId="77777777" w:rsidR="00F07C8F" w:rsidRDefault="00F07C8F" w:rsidP="001E0DFF">
      <w:pPr>
        <w:rPr>
          <w:b/>
          <w:bCs/>
          <w:sz w:val="28"/>
          <w:szCs w:val="32"/>
        </w:rPr>
      </w:pPr>
    </w:p>
    <w:p w14:paraId="350ED726" w14:textId="77777777" w:rsidR="00F07C8F" w:rsidRDefault="00F07C8F" w:rsidP="001E0DFF">
      <w:pPr>
        <w:rPr>
          <w:b/>
          <w:bCs/>
          <w:sz w:val="28"/>
          <w:szCs w:val="32"/>
        </w:rPr>
      </w:pPr>
    </w:p>
    <w:p w14:paraId="370A3E0D" w14:textId="77777777" w:rsidR="00F07C8F" w:rsidRDefault="00F07C8F" w:rsidP="001E0DFF">
      <w:pPr>
        <w:rPr>
          <w:b/>
          <w:bCs/>
          <w:sz w:val="28"/>
          <w:szCs w:val="32"/>
        </w:rPr>
      </w:pPr>
    </w:p>
    <w:p w14:paraId="2A2DF4E6" w14:textId="77777777" w:rsidR="00F07C8F" w:rsidRDefault="00F07C8F" w:rsidP="001E0DFF">
      <w:pPr>
        <w:rPr>
          <w:b/>
          <w:bCs/>
          <w:sz w:val="28"/>
          <w:szCs w:val="32"/>
        </w:rPr>
      </w:pPr>
    </w:p>
    <w:p w14:paraId="18F270B6" w14:textId="77777777" w:rsidR="00F07C8F" w:rsidRDefault="00F07C8F" w:rsidP="001E0DFF">
      <w:pPr>
        <w:rPr>
          <w:b/>
          <w:bCs/>
          <w:sz w:val="28"/>
          <w:szCs w:val="32"/>
        </w:rPr>
      </w:pPr>
    </w:p>
    <w:p w14:paraId="0B5B35E0" w14:textId="77777777" w:rsidR="00F07C8F" w:rsidRDefault="00F07C8F" w:rsidP="001E0DFF">
      <w:pPr>
        <w:rPr>
          <w:b/>
          <w:bCs/>
          <w:sz w:val="28"/>
          <w:szCs w:val="32"/>
        </w:rPr>
      </w:pPr>
    </w:p>
    <w:p w14:paraId="26B4B824" w14:textId="77777777" w:rsidR="00F07C8F" w:rsidRDefault="00F07C8F" w:rsidP="001E0DFF">
      <w:pPr>
        <w:rPr>
          <w:b/>
          <w:bCs/>
          <w:sz w:val="28"/>
          <w:szCs w:val="32"/>
        </w:rPr>
      </w:pPr>
    </w:p>
    <w:p w14:paraId="3D6ACAEC" w14:textId="77777777" w:rsidR="00F07C8F" w:rsidRDefault="00F07C8F" w:rsidP="001E0DFF">
      <w:pPr>
        <w:rPr>
          <w:b/>
          <w:bCs/>
          <w:sz w:val="28"/>
          <w:szCs w:val="32"/>
        </w:rPr>
      </w:pPr>
    </w:p>
    <w:p w14:paraId="6B01E01B" w14:textId="77777777" w:rsidR="00F07C8F" w:rsidRDefault="00F07C8F" w:rsidP="001E0DFF">
      <w:pPr>
        <w:rPr>
          <w:b/>
          <w:bCs/>
          <w:sz w:val="28"/>
          <w:szCs w:val="32"/>
        </w:rPr>
      </w:pPr>
    </w:p>
    <w:p w14:paraId="7B58E971" w14:textId="77777777" w:rsidR="00F07C8F" w:rsidRDefault="00F07C8F" w:rsidP="001E0DFF">
      <w:pPr>
        <w:rPr>
          <w:b/>
          <w:bCs/>
          <w:sz w:val="28"/>
          <w:szCs w:val="32"/>
        </w:rPr>
      </w:pPr>
    </w:p>
    <w:p w14:paraId="39B1B9E2" w14:textId="77777777" w:rsidR="00F07C8F" w:rsidRDefault="00F07C8F" w:rsidP="001E0DFF">
      <w:pPr>
        <w:rPr>
          <w:b/>
          <w:bCs/>
          <w:sz w:val="28"/>
          <w:szCs w:val="32"/>
        </w:rPr>
      </w:pPr>
    </w:p>
    <w:p w14:paraId="7061EE87" w14:textId="77777777" w:rsidR="00F07C8F" w:rsidRDefault="00F07C8F" w:rsidP="001E0DFF">
      <w:pPr>
        <w:rPr>
          <w:b/>
          <w:bCs/>
          <w:sz w:val="28"/>
          <w:szCs w:val="32"/>
        </w:rPr>
      </w:pPr>
    </w:p>
    <w:p w14:paraId="7C967CE5" w14:textId="77777777" w:rsidR="00F07C8F" w:rsidRDefault="00F07C8F" w:rsidP="001E0DFF">
      <w:pPr>
        <w:rPr>
          <w:b/>
          <w:bCs/>
          <w:sz w:val="28"/>
          <w:szCs w:val="32"/>
        </w:rPr>
      </w:pPr>
    </w:p>
    <w:p w14:paraId="6FB28CB2" w14:textId="0340874F" w:rsidR="00F07C8F" w:rsidRDefault="00F07C8F" w:rsidP="001E0DFF">
      <w:pPr>
        <w:rPr>
          <w:b/>
          <w:bCs/>
          <w:sz w:val="28"/>
          <w:szCs w:val="32"/>
        </w:rPr>
      </w:pPr>
    </w:p>
    <w:p w14:paraId="5D939EFD" w14:textId="77777777" w:rsidR="00F07C8F" w:rsidRDefault="00F07C8F" w:rsidP="001E0DFF">
      <w:pPr>
        <w:rPr>
          <w:b/>
          <w:bCs/>
          <w:sz w:val="28"/>
          <w:szCs w:val="32"/>
        </w:rPr>
      </w:pPr>
    </w:p>
    <w:p w14:paraId="078BF47B" w14:textId="2C6C2122" w:rsidR="00F07C8F" w:rsidRPr="00DC6B97" w:rsidRDefault="00F07C8F" w:rsidP="00F07C8F">
      <w:pPr>
        <w:pStyle w:val="Title"/>
        <w:rPr>
          <w:sz w:val="44"/>
          <w:szCs w:val="44"/>
        </w:rPr>
      </w:pPr>
      <w:r w:rsidRPr="00DC6B97">
        <w:rPr>
          <w:sz w:val="44"/>
          <w:szCs w:val="44"/>
        </w:rPr>
        <w:t xml:space="preserve">Waste 2 Resource – Annual Status </w:t>
      </w:r>
      <w:r w:rsidR="00DC6B97" w:rsidRPr="00DC6B97">
        <w:rPr>
          <w:sz w:val="44"/>
          <w:szCs w:val="44"/>
        </w:rPr>
        <w:t>R</w:t>
      </w:r>
      <w:r w:rsidRPr="00DC6B97">
        <w:rPr>
          <w:sz w:val="44"/>
          <w:szCs w:val="44"/>
        </w:rPr>
        <w:t>eport 2022–2023</w:t>
      </w:r>
    </w:p>
    <w:p w14:paraId="7E6473B9" w14:textId="77777777" w:rsidR="00B427AC" w:rsidRPr="00126191" w:rsidRDefault="00B427AC" w:rsidP="00B427AC">
      <w:pPr>
        <w:pStyle w:val="Title"/>
        <w:rPr>
          <w:sz w:val="18"/>
          <w:szCs w:val="18"/>
        </w:rPr>
      </w:pPr>
    </w:p>
    <w:p w14:paraId="675C58C1" w14:textId="2170C5E4" w:rsidR="00B427AC" w:rsidRPr="00B427AC" w:rsidRDefault="00346F1E" w:rsidP="00B427AC">
      <w:pPr>
        <w:pStyle w:val="Title"/>
        <w:rPr>
          <w:sz w:val="32"/>
          <w:szCs w:val="32"/>
        </w:rPr>
      </w:pPr>
      <w:r w:rsidRPr="00B427AC">
        <w:rPr>
          <w:sz w:val="32"/>
          <w:szCs w:val="32"/>
        </w:rPr>
        <w:t>October 2023</w:t>
      </w:r>
    </w:p>
    <w:p w14:paraId="43B75FE2" w14:textId="63B65668" w:rsidR="00985513" w:rsidRDefault="00985513" w:rsidP="00B427AC">
      <w:pPr>
        <w:pStyle w:val="Title"/>
        <w:rPr>
          <w:color w:val="auto"/>
          <w:sz w:val="32"/>
          <w:szCs w:val="32"/>
        </w:rPr>
      </w:pPr>
    </w:p>
    <w:p w14:paraId="18E0CBB6" w14:textId="77777777" w:rsidR="00361356" w:rsidRDefault="00361356" w:rsidP="00B427AC">
      <w:pPr>
        <w:pStyle w:val="Title"/>
        <w:rPr>
          <w:color w:val="auto"/>
          <w:sz w:val="32"/>
          <w:szCs w:val="32"/>
        </w:rPr>
        <w:sectPr w:rsidR="00361356" w:rsidSect="00361356">
          <w:headerReference w:type="default" r:id="rId7"/>
          <w:pgSz w:w="11906" w:h="16838"/>
          <w:pgMar w:top="1134" w:right="1417" w:bottom="1134" w:left="1417" w:header="510" w:footer="454" w:gutter="0"/>
          <w:pgNumType w:fmt="lowerRoman" w:start="1"/>
          <w:cols w:space="708"/>
          <w:docGrid w:linePitch="360"/>
        </w:sectPr>
      </w:pPr>
    </w:p>
    <w:p w14:paraId="44A1619F" w14:textId="3F232E63" w:rsidR="00B427AC" w:rsidRPr="00126191" w:rsidRDefault="00B427AC" w:rsidP="00B427AC">
      <w:pPr>
        <w:pStyle w:val="Title"/>
        <w:rPr>
          <w:color w:val="003C69"/>
          <w:sz w:val="28"/>
          <w:szCs w:val="28"/>
        </w:rPr>
      </w:pPr>
      <w:r w:rsidRPr="00126191">
        <w:rPr>
          <w:color w:val="003C69"/>
          <w:sz w:val="28"/>
          <w:szCs w:val="28"/>
        </w:rPr>
        <w:lastRenderedPageBreak/>
        <w:t>Copyright</w:t>
      </w:r>
    </w:p>
    <w:p w14:paraId="208161BC" w14:textId="19D612F1" w:rsidR="001E0DFF" w:rsidRPr="0039389D" w:rsidRDefault="001E0DFF" w:rsidP="00B427AC">
      <w:pPr>
        <w:rPr>
          <w:rFonts w:ascii="Calibri" w:hAnsi="Calibri" w:cs="Calibri"/>
          <w:sz w:val="24"/>
          <w:szCs w:val="24"/>
        </w:rPr>
      </w:pPr>
      <w:r w:rsidRPr="0039389D">
        <w:rPr>
          <w:sz w:val="24"/>
          <w:szCs w:val="24"/>
        </w:rPr>
        <w:t xml:space="preserve">This publication is protected by the </w:t>
      </w:r>
      <w:r w:rsidRPr="0039389D">
        <w:rPr>
          <w:i/>
          <w:iCs/>
          <w:sz w:val="24"/>
          <w:szCs w:val="24"/>
        </w:rPr>
        <w:t>Copyright Act 1968</w:t>
      </w:r>
      <w:r w:rsidRPr="0039389D">
        <w:rPr>
          <w:sz w:val="24"/>
          <w:szCs w:val="24"/>
        </w:rPr>
        <w:t>.</w:t>
      </w:r>
    </w:p>
    <w:p w14:paraId="1E8F1BE1" w14:textId="69CB666F" w:rsidR="001E0DFF" w:rsidRPr="0039389D" w:rsidRDefault="001E0DFF" w:rsidP="001E0DFF">
      <w:pPr>
        <w:rPr>
          <w:sz w:val="24"/>
          <w:szCs w:val="24"/>
        </w:rPr>
      </w:pPr>
      <w:r w:rsidRPr="0039389D">
        <w:rPr>
          <w:sz w:val="24"/>
          <w:szCs w:val="24"/>
        </w:rPr>
        <w:t>© The State of Queensland (Department of Transport and Main Roads) 2023. All rights reserved.</w:t>
      </w:r>
    </w:p>
    <w:p w14:paraId="62F27F48" w14:textId="77777777" w:rsidR="001E0DFF" w:rsidRPr="001E0DFF" w:rsidRDefault="001E0DFF" w:rsidP="001E0DFF">
      <w:pPr>
        <w:rPr>
          <w:b/>
          <w:bCs/>
          <w:sz w:val="28"/>
          <w:szCs w:val="32"/>
        </w:rPr>
      </w:pPr>
      <w:r w:rsidRPr="00126191">
        <w:rPr>
          <w:b/>
          <w:bCs/>
          <w:color w:val="003C69"/>
          <w:sz w:val="28"/>
          <w:szCs w:val="32"/>
        </w:rPr>
        <w:t>Disclaimer</w:t>
      </w:r>
    </w:p>
    <w:p w14:paraId="1F996655" w14:textId="537FA53A" w:rsidR="001E0DFF" w:rsidRPr="0039389D" w:rsidRDefault="001E0DFF" w:rsidP="001E0DFF">
      <w:pPr>
        <w:rPr>
          <w:rFonts w:ascii="Calibri" w:hAnsi="Calibri" w:cs="Calibri"/>
          <w:sz w:val="24"/>
          <w:szCs w:val="24"/>
        </w:rPr>
      </w:pPr>
      <w:r w:rsidRPr="0039389D">
        <w:rPr>
          <w:sz w:val="24"/>
          <w:szCs w:val="24"/>
        </w:rPr>
        <w:t>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as a result of any data, information, statement or advice, expressed or implied, contained within and excludes all liability (including, without limitation, liability in negligence) for all expenses, losses, damages and costs that may be incurred.</w:t>
      </w:r>
    </w:p>
    <w:p w14:paraId="6BAB991F" w14:textId="5D9FFA46" w:rsidR="00D36900" w:rsidRPr="00126191" w:rsidRDefault="001E0DFF" w:rsidP="001E0DFF">
      <w:pPr>
        <w:rPr>
          <w:b/>
          <w:bCs/>
          <w:color w:val="003C69"/>
          <w:sz w:val="28"/>
          <w:szCs w:val="32"/>
        </w:rPr>
      </w:pPr>
      <w:r w:rsidRPr="00126191">
        <w:rPr>
          <w:b/>
          <w:bCs/>
          <w:color w:val="003C69"/>
          <w:sz w:val="28"/>
          <w:szCs w:val="32"/>
        </w:rPr>
        <w:t>Translating and Interpreting Services</w:t>
      </w:r>
    </w:p>
    <w:tbl>
      <w:tblPr>
        <w:tblStyle w:val="TableGrid"/>
        <w:tblW w:w="51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44"/>
        <w:gridCol w:w="8889"/>
      </w:tblGrid>
      <w:tr w:rsidR="00D36900" w:rsidRPr="00F74894" w14:paraId="48C69760" w14:textId="77777777" w:rsidTr="00945366">
        <w:tc>
          <w:tcPr>
            <w:tcW w:w="1129" w:type="dxa"/>
          </w:tcPr>
          <w:p w14:paraId="3E6A1E36" w14:textId="77777777" w:rsidR="00D36900" w:rsidRPr="00F74894" w:rsidRDefault="00D36900" w:rsidP="001E0DFF">
            <w:r w:rsidRPr="00F74894">
              <w:rPr>
                <w:noProof/>
                <w:lang w:eastAsia="en-AU"/>
              </w:rPr>
              <w:drawing>
                <wp:inline distT="0" distB="0" distL="0" distR="0" wp14:anchorId="3B89E6EA" wp14:editId="346C600C">
                  <wp:extent cx="528320" cy="527050"/>
                  <wp:effectExtent l="0" t="0" r="5080" b="6350"/>
                  <wp:docPr id="1" name="Picture 1"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preter_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320" cy="527050"/>
                          </a:xfrm>
                          <a:prstGeom prst="rect">
                            <a:avLst/>
                          </a:prstGeom>
                          <a:noFill/>
                        </pic:spPr>
                      </pic:pic>
                    </a:graphicData>
                  </a:graphic>
                </wp:inline>
              </w:drawing>
            </w:r>
          </w:p>
        </w:tc>
        <w:tc>
          <w:tcPr>
            <w:tcW w:w="8776" w:type="dxa"/>
            <w:vAlign w:val="center"/>
          </w:tcPr>
          <w:p w14:paraId="0815D630" w14:textId="0E0B40A3" w:rsidR="00D36900" w:rsidRPr="0039389D" w:rsidRDefault="00D36900" w:rsidP="001E0DFF">
            <w:pPr>
              <w:rPr>
                <w:sz w:val="24"/>
                <w:szCs w:val="24"/>
              </w:rPr>
            </w:pPr>
            <w:r w:rsidRPr="0039389D">
              <w:rPr>
                <w:sz w:val="24"/>
                <w:szCs w:val="24"/>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511041A6" w14:textId="77777777" w:rsidR="00DC6B97" w:rsidRDefault="00DC6B97"/>
    <w:p w14:paraId="37B56602" w14:textId="77777777" w:rsidR="00DC6B97" w:rsidRDefault="00DC6B97"/>
    <w:p w14:paraId="26037374" w14:textId="77777777" w:rsidR="00DC6B97" w:rsidRDefault="00DC6B97"/>
    <w:p w14:paraId="210E0591" w14:textId="77777777" w:rsidR="00DC6B97" w:rsidRDefault="00DC6B97"/>
    <w:p w14:paraId="2069D57E" w14:textId="77777777" w:rsidR="00DC6B97" w:rsidRDefault="00DC6B97"/>
    <w:p w14:paraId="26180626" w14:textId="77777777" w:rsidR="00DC6B97" w:rsidRDefault="00DC6B97"/>
    <w:p w14:paraId="4D08EC11" w14:textId="77777777" w:rsidR="00DC6B97" w:rsidRDefault="00DC6B97"/>
    <w:p w14:paraId="5F7F96B2" w14:textId="77777777" w:rsidR="00DC6B97" w:rsidRDefault="00DC6B97"/>
    <w:p w14:paraId="6EAC2AA0" w14:textId="77777777" w:rsidR="00DC6B97" w:rsidRDefault="00DC6B97"/>
    <w:p w14:paraId="4988A30F" w14:textId="77777777" w:rsidR="00DC6B97" w:rsidRDefault="00DC6B97"/>
    <w:p w14:paraId="3FC47D89" w14:textId="77777777" w:rsidR="00DC6B97" w:rsidRDefault="00DC6B97" w:rsidP="00DC6B97"/>
    <w:p w14:paraId="3DCE133E" w14:textId="77777777" w:rsidR="00DC6B97" w:rsidRDefault="00DC6B97" w:rsidP="00DC6B97"/>
    <w:p w14:paraId="66AC8E5B" w14:textId="40AE40D9" w:rsidR="00DC6B97" w:rsidRPr="00BD1B7C" w:rsidRDefault="00DC6B97" w:rsidP="00DC6B97">
      <w:pPr>
        <w:rPr>
          <w:rFonts w:cstheme="minorBidi"/>
          <w:i/>
          <w:iCs/>
          <w:sz w:val="24"/>
          <w:szCs w:val="24"/>
        </w:rPr>
      </w:pPr>
      <w:r w:rsidRPr="00BD1B7C">
        <w:rPr>
          <w:i/>
          <w:iCs/>
          <w:sz w:val="24"/>
          <w:szCs w:val="24"/>
        </w:rPr>
        <w:t>Front cover images (left to right and top to bottom):</w:t>
      </w:r>
      <w:r w:rsidR="00435F2D">
        <w:rPr>
          <w:i/>
          <w:iCs/>
          <w:sz w:val="24"/>
          <w:szCs w:val="24"/>
        </w:rPr>
        <w:t xml:space="preserve"> </w:t>
      </w:r>
      <w:r w:rsidR="00C739EB" w:rsidRPr="00BD1B7C">
        <w:rPr>
          <w:i/>
          <w:iCs/>
          <w:sz w:val="24"/>
          <w:szCs w:val="24"/>
        </w:rPr>
        <w:t>C</w:t>
      </w:r>
      <w:r w:rsidRPr="00BD1B7C">
        <w:rPr>
          <w:i/>
          <w:iCs/>
          <w:sz w:val="24"/>
          <w:szCs w:val="24"/>
        </w:rPr>
        <w:t>rushed concrete;</w:t>
      </w:r>
      <w:r w:rsidR="00323CFC">
        <w:rPr>
          <w:i/>
          <w:iCs/>
          <w:sz w:val="24"/>
          <w:szCs w:val="24"/>
        </w:rPr>
        <w:t xml:space="preserve"> placement of subgrade material on </w:t>
      </w:r>
      <w:r w:rsidRPr="00E27BD6">
        <w:rPr>
          <w:i/>
          <w:iCs/>
          <w:sz w:val="24"/>
          <w:szCs w:val="24"/>
        </w:rPr>
        <w:t>the May Downs Road</w:t>
      </w:r>
      <w:r w:rsidR="00973ED8" w:rsidRPr="00E27BD6">
        <w:rPr>
          <w:i/>
          <w:iCs/>
          <w:sz w:val="24"/>
          <w:szCs w:val="24"/>
        </w:rPr>
        <w:t xml:space="preserve">, </w:t>
      </w:r>
      <w:proofErr w:type="gramStart"/>
      <w:r w:rsidR="00973ED8" w:rsidRPr="00E27BD6">
        <w:rPr>
          <w:i/>
          <w:iCs/>
          <w:sz w:val="24"/>
          <w:szCs w:val="24"/>
        </w:rPr>
        <w:t>pave</w:t>
      </w:r>
      <w:proofErr w:type="gramEnd"/>
      <w:r w:rsidR="00973ED8" w:rsidRPr="00E27BD6">
        <w:rPr>
          <w:i/>
          <w:iCs/>
          <w:sz w:val="24"/>
          <w:szCs w:val="24"/>
        </w:rPr>
        <w:t xml:space="preserve"> and seal </w:t>
      </w:r>
      <w:r w:rsidRPr="00E27BD6">
        <w:rPr>
          <w:i/>
          <w:iCs/>
          <w:sz w:val="24"/>
          <w:szCs w:val="24"/>
        </w:rPr>
        <w:t xml:space="preserve">project in </w:t>
      </w:r>
      <w:r w:rsidR="00660C9D" w:rsidRPr="00E27BD6">
        <w:rPr>
          <w:i/>
          <w:iCs/>
          <w:sz w:val="24"/>
          <w:szCs w:val="24"/>
        </w:rPr>
        <w:t>C</w:t>
      </w:r>
      <w:r w:rsidRPr="00E27BD6">
        <w:rPr>
          <w:i/>
          <w:iCs/>
          <w:sz w:val="24"/>
          <w:szCs w:val="24"/>
        </w:rPr>
        <w:t>entral Queensland</w:t>
      </w:r>
      <w:r w:rsidR="00E27BD6" w:rsidRPr="00E27BD6">
        <w:rPr>
          <w:i/>
          <w:iCs/>
          <w:sz w:val="24"/>
          <w:szCs w:val="24"/>
        </w:rPr>
        <w:t xml:space="preserve"> </w:t>
      </w:r>
      <w:r w:rsidR="00E27BD6">
        <w:rPr>
          <w:i/>
          <w:iCs/>
          <w:sz w:val="24"/>
          <w:szCs w:val="24"/>
        </w:rPr>
        <w:t xml:space="preserve">Region </w:t>
      </w:r>
      <w:r w:rsidR="00E27BD6" w:rsidRPr="00E27BD6">
        <w:rPr>
          <w:i/>
          <w:iCs/>
          <w:sz w:val="24"/>
          <w:szCs w:val="24"/>
        </w:rPr>
        <w:t>© Cooper McCullough Group</w:t>
      </w:r>
      <w:r w:rsidRPr="00E27BD6">
        <w:rPr>
          <w:i/>
          <w:iCs/>
          <w:sz w:val="24"/>
          <w:szCs w:val="24"/>
        </w:rPr>
        <w:t>; crushed concrete; and rubbled concrete from</w:t>
      </w:r>
      <w:r w:rsidR="00C739EB" w:rsidRPr="00E27BD6">
        <w:rPr>
          <w:i/>
          <w:iCs/>
          <w:sz w:val="24"/>
          <w:szCs w:val="24"/>
        </w:rPr>
        <w:t xml:space="preserve"> the</w:t>
      </w:r>
      <w:r w:rsidRPr="00E27BD6">
        <w:rPr>
          <w:i/>
          <w:iCs/>
          <w:sz w:val="24"/>
          <w:szCs w:val="24"/>
        </w:rPr>
        <w:t xml:space="preserve"> Varsity Lakes to Burleigh (VL2B) project in</w:t>
      </w:r>
      <w:r w:rsidRPr="00BD1B7C">
        <w:rPr>
          <w:i/>
          <w:iCs/>
          <w:sz w:val="24"/>
          <w:szCs w:val="24"/>
        </w:rPr>
        <w:t xml:space="preserve"> South Coast Region.</w:t>
      </w:r>
      <w:r w:rsidR="00E27BD6">
        <w:rPr>
          <w:i/>
          <w:iCs/>
          <w:sz w:val="24"/>
          <w:szCs w:val="24"/>
        </w:rPr>
        <w:t xml:space="preserve"> Top left and bottom left and right images</w:t>
      </w:r>
      <w:r w:rsidR="00BD1B7C" w:rsidRPr="00BD1B7C">
        <w:rPr>
          <w:i/>
          <w:iCs/>
          <w:sz w:val="24"/>
          <w:szCs w:val="24"/>
        </w:rPr>
        <w:t xml:space="preserve"> </w:t>
      </w:r>
      <w:r w:rsidRPr="00BD1B7C">
        <w:rPr>
          <w:i/>
          <w:iCs/>
          <w:sz w:val="24"/>
          <w:szCs w:val="24"/>
        </w:rPr>
        <w:t xml:space="preserve">© </w:t>
      </w:r>
      <w:r w:rsidR="0074557B">
        <w:rPr>
          <w:i/>
          <w:iCs/>
          <w:sz w:val="24"/>
          <w:szCs w:val="24"/>
        </w:rPr>
        <w:t xml:space="preserve">The </w:t>
      </w:r>
      <w:r w:rsidRPr="00BD1B7C">
        <w:rPr>
          <w:i/>
          <w:iCs/>
          <w:sz w:val="24"/>
          <w:szCs w:val="24"/>
        </w:rPr>
        <w:t xml:space="preserve">State of Queensland. </w:t>
      </w:r>
    </w:p>
    <w:p w14:paraId="2F945F00" w14:textId="5AE48B66" w:rsidR="00985513" w:rsidRDefault="00985513">
      <w:r>
        <w:br w:type="page"/>
      </w:r>
    </w:p>
    <w:sdt>
      <w:sdtPr>
        <w:rPr>
          <w:rFonts w:ascii="Arial" w:eastAsiaTheme="minorHAnsi" w:hAnsi="Arial" w:cs="Arial"/>
          <w:b w:val="0"/>
          <w:color w:val="auto"/>
          <w:sz w:val="20"/>
          <w:szCs w:val="22"/>
          <w:lang w:val="en-AU"/>
        </w:rPr>
        <w:id w:val="863090786"/>
        <w:docPartObj>
          <w:docPartGallery w:val="Table of Contents"/>
          <w:docPartUnique/>
        </w:docPartObj>
      </w:sdtPr>
      <w:sdtEndPr>
        <w:rPr>
          <w:bCs/>
          <w:noProof/>
          <w:sz w:val="24"/>
          <w:szCs w:val="24"/>
        </w:rPr>
      </w:sdtEndPr>
      <w:sdtContent>
        <w:p w14:paraId="571F46F4" w14:textId="03456ECF" w:rsidR="00985513" w:rsidRDefault="00985513">
          <w:pPr>
            <w:pStyle w:val="TOCHeading"/>
          </w:pPr>
          <w:r w:rsidRPr="003F0203">
            <w:t>Contents</w:t>
          </w:r>
        </w:p>
        <w:p w14:paraId="55A8BC2E" w14:textId="1D261F58" w:rsidR="00131CED" w:rsidRDefault="00131CED">
          <w:pPr>
            <w:pStyle w:val="TOC1"/>
            <w:rPr>
              <w:rFonts w:asciiTheme="minorHAnsi" w:eastAsiaTheme="minorEastAsia" w:hAnsiTheme="minorHAnsi" w:cstheme="minorBidi"/>
              <w:noProof/>
              <w:sz w:val="22"/>
              <w:lang w:eastAsia="en-AU"/>
            </w:rPr>
          </w:pPr>
          <w:r>
            <w:rPr>
              <w:szCs w:val="24"/>
            </w:rPr>
            <w:fldChar w:fldCharType="begin"/>
          </w:r>
          <w:r>
            <w:rPr>
              <w:szCs w:val="24"/>
            </w:rPr>
            <w:instrText xml:space="preserve"> TOC \o "1-2" \h \z \u </w:instrText>
          </w:r>
          <w:r>
            <w:rPr>
              <w:szCs w:val="24"/>
            </w:rPr>
            <w:fldChar w:fldCharType="separate"/>
          </w:r>
          <w:hyperlink w:anchor="_Toc147824128" w:history="1">
            <w:r w:rsidRPr="0098088F">
              <w:rPr>
                <w:rStyle w:val="Hyperlink"/>
                <w:noProof/>
              </w:rPr>
              <w:t>Executive summary</w:t>
            </w:r>
            <w:r>
              <w:rPr>
                <w:noProof/>
                <w:webHidden/>
              </w:rPr>
              <w:tab/>
            </w:r>
            <w:r>
              <w:rPr>
                <w:noProof/>
                <w:webHidden/>
              </w:rPr>
              <w:fldChar w:fldCharType="begin"/>
            </w:r>
            <w:r>
              <w:rPr>
                <w:noProof/>
                <w:webHidden/>
              </w:rPr>
              <w:instrText xml:space="preserve"> PAGEREF _Toc147824128 \h </w:instrText>
            </w:r>
            <w:r>
              <w:rPr>
                <w:noProof/>
                <w:webHidden/>
              </w:rPr>
            </w:r>
            <w:r>
              <w:rPr>
                <w:noProof/>
                <w:webHidden/>
              </w:rPr>
              <w:fldChar w:fldCharType="separate"/>
            </w:r>
            <w:r w:rsidR="008409D7">
              <w:rPr>
                <w:noProof/>
                <w:webHidden/>
              </w:rPr>
              <w:t>1</w:t>
            </w:r>
            <w:r>
              <w:rPr>
                <w:noProof/>
                <w:webHidden/>
              </w:rPr>
              <w:fldChar w:fldCharType="end"/>
            </w:r>
          </w:hyperlink>
        </w:p>
        <w:p w14:paraId="45481CFB" w14:textId="4B0DCAAF" w:rsidR="00131CED" w:rsidRDefault="00000000">
          <w:pPr>
            <w:pStyle w:val="TOC1"/>
            <w:rPr>
              <w:rFonts w:asciiTheme="minorHAnsi" w:eastAsiaTheme="minorEastAsia" w:hAnsiTheme="minorHAnsi" w:cstheme="minorBidi"/>
              <w:noProof/>
              <w:sz w:val="22"/>
              <w:lang w:eastAsia="en-AU"/>
            </w:rPr>
          </w:pPr>
          <w:hyperlink w:anchor="_Toc147824129" w:history="1">
            <w:r w:rsidR="00131CED" w:rsidRPr="0098088F">
              <w:rPr>
                <w:rStyle w:val="Hyperlink"/>
                <w:noProof/>
              </w:rPr>
              <w:t>Introduction</w:t>
            </w:r>
            <w:r w:rsidR="00131CED">
              <w:rPr>
                <w:noProof/>
                <w:webHidden/>
              </w:rPr>
              <w:tab/>
            </w:r>
            <w:r w:rsidR="00131CED">
              <w:rPr>
                <w:noProof/>
                <w:webHidden/>
              </w:rPr>
              <w:fldChar w:fldCharType="begin"/>
            </w:r>
            <w:r w:rsidR="00131CED">
              <w:rPr>
                <w:noProof/>
                <w:webHidden/>
              </w:rPr>
              <w:instrText xml:space="preserve"> PAGEREF _Toc147824129 \h </w:instrText>
            </w:r>
            <w:r w:rsidR="00131CED">
              <w:rPr>
                <w:noProof/>
                <w:webHidden/>
              </w:rPr>
            </w:r>
            <w:r w:rsidR="00131CED">
              <w:rPr>
                <w:noProof/>
                <w:webHidden/>
              </w:rPr>
              <w:fldChar w:fldCharType="separate"/>
            </w:r>
            <w:r w:rsidR="008409D7">
              <w:rPr>
                <w:noProof/>
                <w:webHidden/>
              </w:rPr>
              <w:t>2</w:t>
            </w:r>
            <w:r w:rsidR="00131CED">
              <w:rPr>
                <w:noProof/>
                <w:webHidden/>
              </w:rPr>
              <w:fldChar w:fldCharType="end"/>
            </w:r>
          </w:hyperlink>
        </w:p>
        <w:p w14:paraId="7A8CB514" w14:textId="18ED9FF9" w:rsidR="00131CED" w:rsidRDefault="00000000">
          <w:pPr>
            <w:pStyle w:val="TOC2"/>
            <w:rPr>
              <w:rFonts w:asciiTheme="minorHAnsi" w:eastAsiaTheme="minorEastAsia" w:hAnsiTheme="minorHAnsi" w:cstheme="minorBidi"/>
              <w:noProof/>
              <w:sz w:val="22"/>
              <w:lang w:eastAsia="en-AU"/>
            </w:rPr>
          </w:pPr>
          <w:hyperlink w:anchor="_Toc147824130" w:history="1">
            <w:r w:rsidR="00131CED" w:rsidRPr="0098088F">
              <w:rPr>
                <w:rStyle w:val="Hyperlink"/>
                <w:noProof/>
              </w:rPr>
              <w:t>Targets</w:t>
            </w:r>
            <w:r w:rsidR="00131CED">
              <w:rPr>
                <w:noProof/>
                <w:webHidden/>
              </w:rPr>
              <w:tab/>
            </w:r>
            <w:r w:rsidR="00131CED">
              <w:rPr>
                <w:noProof/>
                <w:webHidden/>
              </w:rPr>
              <w:fldChar w:fldCharType="begin"/>
            </w:r>
            <w:r w:rsidR="00131CED">
              <w:rPr>
                <w:noProof/>
                <w:webHidden/>
              </w:rPr>
              <w:instrText xml:space="preserve"> PAGEREF _Toc147824130 \h </w:instrText>
            </w:r>
            <w:r w:rsidR="00131CED">
              <w:rPr>
                <w:noProof/>
                <w:webHidden/>
              </w:rPr>
            </w:r>
            <w:r w:rsidR="00131CED">
              <w:rPr>
                <w:noProof/>
                <w:webHidden/>
              </w:rPr>
              <w:fldChar w:fldCharType="separate"/>
            </w:r>
            <w:r w:rsidR="008409D7">
              <w:rPr>
                <w:noProof/>
                <w:webHidden/>
              </w:rPr>
              <w:t>2</w:t>
            </w:r>
            <w:r w:rsidR="00131CED">
              <w:rPr>
                <w:noProof/>
                <w:webHidden/>
              </w:rPr>
              <w:fldChar w:fldCharType="end"/>
            </w:r>
          </w:hyperlink>
        </w:p>
        <w:p w14:paraId="030BAFB0" w14:textId="0CEA77AB" w:rsidR="00131CED" w:rsidRDefault="00000000">
          <w:pPr>
            <w:pStyle w:val="TOC1"/>
            <w:rPr>
              <w:rFonts w:asciiTheme="minorHAnsi" w:eastAsiaTheme="minorEastAsia" w:hAnsiTheme="minorHAnsi" w:cstheme="minorBidi"/>
              <w:noProof/>
              <w:sz w:val="22"/>
              <w:lang w:eastAsia="en-AU"/>
            </w:rPr>
          </w:pPr>
          <w:hyperlink w:anchor="_Toc147824131" w:history="1">
            <w:r w:rsidR="00131CED" w:rsidRPr="0098088F">
              <w:rPr>
                <w:rStyle w:val="Hyperlink"/>
                <w:noProof/>
              </w:rPr>
              <w:t>Waste reporting</w:t>
            </w:r>
            <w:r w:rsidR="00131CED">
              <w:rPr>
                <w:noProof/>
                <w:webHidden/>
              </w:rPr>
              <w:tab/>
            </w:r>
            <w:r w:rsidR="00131CED">
              <w:rPr>
                <w:noProof/>
                <w:webHidden/>
              </w:rPr>
              <w:fldChar w:fldCharType="begin"/>
            </w:r>
            <w:r w:rsidR="00131CED">
              <w:rPr>
                <w:noProof/>
                <w:webHidden/>
              </w:rPr>
              <w:instrText xml:space="preserve"> PAGEREF _Toc147824131 \h </w:instrText>
            </w:r>
            <w:r w:rsidR="00131CED">
              <w:rPr>
                <w:noProof/>
                <w:webHidden/>
              </w:rPr>
            </w:r>
            <w:r w:rsidR="00131CED">
              <w:rPr>
                <w:noProof/>
                <w:webHidden/>
              </w:rPr>
              <w:fldChar w:fldCharType="separate"/>
            </w:r>
            <w:r w:rsidR="008409D7">
              <w:rPr>
                <w:noProof/>
                <w:webHidden/>
              </w:rPr>
              <w:t>3</w:t>
            </w:r>
            <w:r w:rsidR="00131CED">
              <w:rPr>
                <w:noProof/>
                <w:webHidden/>
              </w:rPr>
              <w:fldChar w:fldCharType="end"/>
            </w:r>
          </w:hyperlink>
        </w:p>
        <w:p w14:paraId="725FAA4F" w14:textId="3170BCF1" w:rsidR="00131CED" w:rsidRDefault="00000000">
          <w:pPr>
            <w:pStyle w:val="TOC2"/>
            <w:rPr>
              <w:rFonts w:asciiTheme="minorHAnsi" w:eastAsiaTheme="minorEastAsia" w:hAnsiTheme="minorHAnsi" w:cstheme="minorBidi"/>
              <w:noProof/>
              <w:sz w:val="22"/>
              <w:lang w:eastAsia="en-AU"/>
            </w:rPr>
          </w:pPr>
          <w:hyperlink w:anchor="_Toc147824132" w:history="1">
            <w:r w:rsidR="00131CED" w:rsidRPr="0098088F">
              <w:rPr>
                <w:rStyle w:val="Hyperlink"/>
                <w:noProof/>
              </w:rPr>
              <w:t>Case study 1: eMesh used on the Edmonton to Gordonvale project</w:t>
            </w:r>
            <w:r w:rsidR="00131CED">
              <w:rPr>
                <w:noProof/>
                <w:webHidden/>
              </w:rPr>
              <w:tab/>
            </w:r>
            <w:r w:rsidR="00131CED">
              <w:rPr>
                <w:noProof/>
                <w:webHidden/>
              </w:rPr>
              <w:fldChar w:fldCharType="begin"/>
            </w:r>
            <w:r w:rsidR="00131CED">
              <w:rPr>
                <w:noProof/>
                <w:webHidden/>
              </w:rPr>
              <w:instrText xml:space="preserve"> PAGEREF _Toc147824132 \h </w:instrText>
            </w:r>
            <w:r w:rsidR="00131CED">
              <w:rPr>
                <w:noProof/>
                <w:webHidden/>
              </w:rPr>
            </w:r>
            <w:r w:rsidR="00131CED">
              <w:rPr>
                <w:noProof/>
                <w:webHidden/>
              </w:rPr>
              <w:fldChar w:fldCharType="separate"/>
            </w:r>
            <w:r w:rsidR="008409D7">
              <w:rPr>
                <w:noProof/>
                <w:webHidden/>
              </w:rPr>
              <w:t>5</w:t>
            </w:r>
            <w:r w:rsidR="00131CED">
              <w:rPr>
                <w:noProof/>
                <w:webHidden/>
              </w:rPr>
              <w:fldChar w:fldCharType="end"/>
            </w:r>
          </w:hyperlink>
        </w:p>
        <w:p w14:paraId="5B157B75" w14:textId="0FAE72B6" w:rsidR="00131CED" w:rsidRDefault="00000000">
          <w:pPr>
            <w:pStyle w:val="TOC1"/>
            <w:rPr>
              <w:rFonts w:asciiTheme="minorHAnsi" w:eastAsiaTheme="minorEastAsia" w:hAnsiTheme="minorHAnsi" w:cstheme="minorBidi"/>
              <w:noProof/>
              <w:sz w:val="22"/>
              <w:lang w:eastAsia="en-AU"/>
            </w:rPr>
          </w:pPr>
          <w:hyperlink w:anchor="_Toc147824133" w:history="1">
            <w:r w:rsidR="00131CED" w:rsidRPr="0098088F">
              <w:rPr>
                <w:rStyle w:val="Hyperlink"/>
                <w:noProof/>
              </w:rPr>
              <w:t>Waste reuse and recycling</w:t>
            </w:r>
            <w:r w:rsidR="00131CED">
              <w:rPr>
                <w:noProof/>
                <w:webHidden/>
              </w:rPr>
              <w:tab/>
            </w:r>
            <w:r w:rsidR="00131CED">
              <w:rPr>
                <w:noProof/>
                <w:webHidden/>
              </w:rPr>
              <w:fldChar w:fldCharType="begin"/>
            </w:r>
            <w:r w:rsidR="00131CED">
              <w:rPr>
                <w:noProof/>
                <w:webHidden/>
              </w:rPr>
              <w:instrText xml:space="preserve"> PAGEREF _Toc147824133 \h </w:instrText>
            </w:r>
            <w:r w:rsidR="00131CED">
              <w:rPr>
                <w:noProof/>
                <w:webHidden/>
              </w:rPr>
            </w:r>
            <w:r w:rsidR="00131CED">
              <w:rPr>
                <w:noProof/>
                <w:webHidden/>
              </w:rPr>
              <w:fldChar w:fldCharType="separate"/>
            </w:r>
            <w:r w:rsidR="008409D7">
              <w:rPr>
                <w:noProof/>
                <w:webHidden/>
              </w:rPr>
              <w:t>6</w:t>
            </w:r>
            <w:r w:rsidR="00131CED">
              <w:rPr>
                <w:noProof/>
                <w:webHidden/>
              </w:rPr>
              <w:fldChar w:fldCharType="end"/>
            </w:r>
          </w:hyperlink>
        </w:p>
        <w:p w14:paraId="622E117E" w14:textId="11E87710" w:rsidR="00131CED" w:rsidRDefault="00000000">
          <w:pPr>
            <w:pStyle w:val="TOC2"/>
            <w:rPr>
              <w:rFonts w:asciiTheme="minorHAnsi" w:eastAsiaTheme="minorEastAsia" w:hAnsiTheme="minorHAnsi" w:cstheme="minorBidi"/>
              <w:noProof/>
              <w:sz w:val="22"/>
              <w:lang w:eastAsia="en-AU"/>
            </w:rPr>
          </w:pPr>
          <w:hyperlink w:anchor="_Toc147824134" w:history="1">
            <w:r w:rsidR="00131CED" w:rsidRPr="0098088F">
              <w:rPr>
                <w:rStyle w:val="Hyperlink"/>
                <w:noProof/>
              </w:rPr>
              <w:t>Case study 2: Varsity Lakes to Burleigh (VL2B)</w:t>
            </w:r>
            <w:r w:rsidR="00131CED">
              <w:rPr>
                <w:noProof/>
                <w:webHidden/>
              </w:rPr>
              <w:tab/>
            </w:r>
            <w:r w:rsidR="00131CED">
              <w:rPr>
                <w:noProof/>
                <w:webHidden/>
              </w:rPr>
              <w:fldChar w:fldCharType="begin"/>
            </w:r>
            <w:r w:rsidR="00131CED">
              <w:rPr>
                <w:noProof/>
                <w:webHidden/>
              </w:rPr>
              <w:instrText xml:space="preserve"> PAGEREF _Toc147824134 \h </w:instrText>
            </w:r>
            <w:r w:rsidR="00131CED">
              <w:rPr>
                <w:noProof/>
                <w:webHidden/>
              </w:rPr>
            </w:r>
            <w:r w:rsidR="00131CED">
              <w:rPr>
                <w:noProof/>
                <w:webHidden/>
              </w:rPr>
              <w:fldChar w:fldCharType="separate"/>
            </w:r>
            <w:r w:rsidR="008409D7">
              <w:rPr>
                <w:noProof/>
                <w:webHidden/>
              </w:rPr>
              <w:t>8</w:t>
            </w:r>
            <w:r w:rsidR="00131CED">
              <w:rPr>
                <w:noProof/>
                <w:webHidden/>
              </w:rPr>
              <w:fldChar w:fldCharType="end"/>
            </w:r>
          </w:hyperlink>
        </w:p>
        <w:p w14:paraId="1C61EE62" w14:textId="27C11480" w:rsidR="00131CED" w:rsidRDefault="00000000">
          <w:pPr>
            <w:pStyle w:val="TOC1"/>
            <w:rPr>
              <w:rFonts w:asciiTheme="minorHAnsi" w:eastAsiaTheme="minorEastAsia" w:hAnsiTheme="minorHAnsi" w:cstheme="minorBidi"/>
              <w:noProof/>
              <w:sz w:val="22"/>
              <w:lang w:eastAsia="en-AU"/>
            </w:rPr>
          </w:pPr>
          <w:hyperlink w:anchor="_Toc147824135" w:history="1">
            <w:r w:rsidR="00131CED" w:rsidRPr="0098088F">
              <w:rPr>
                <w:rStyle w:val="Hyperlink"/>
                <w:noProof/>
              </w:rPr>
              <w:t>Using recycled materials</w:t>
            </w:r>
            <w:r w:rsidR="00131CED">
              <w:rPr>
                <w:noProof/>
                <w:webHidden/>
              </w:rPr>
              <w:tab/>
            </w:r>
            <w:r w:rsidR="00131CED">
              <w:rPr>
                <w:noProof/>
                <w:webHidden/>
              </w:rPr>
              <w:fldChar w:fldCharType="begin"/>
            </w:r>
            <w:r w:rsidR="00131CED">
              <w:rPr>
                <w:noProof/>
                <w:webHidden/>
              </w:rPr>
              <w:instrText xml:space="preserve"> PAGEREF _Toc147824135 \h </w:instrText>
            </w:r>
            <w:r w:rsidR="00131CED">
              <w:rPr>
                <w:noProof/>
                <w:webHidden/>
              </w:rPr>
            </w:r>
            <w:r w:rsidR="00131CED">
              <w:rPr>
                <w:noProof/>
                <w:webHidden/>
              </w:rPr>
              <w:fldChar w:fldCharType="separate"/>
            </w:r>
            <w:r w:rsidR="008409D7">
              <w:rPr>
                <w:noProof/>
                <w:webHidden/>
              </w:rPr>
              <w:t>9</w:t>
            </w:r>
            <w:r w:rsidR="00131CED">
              <w:rPr>
                <w:noProof/>
                <w:webHidden/>
              </w:rPr>
              <w:fldChar w:fldCharType="end"/>
            </w:r>
          </w:hyperlink>
        </w:p>
        <w:p w14:paraId="7402F6BF" w14:textId="6554F6C2" w:rsidR="00131CED" w:rsidRDefault="00000000">
          <w:pPr>
            <w:pStyle w:val="TOC2"/>
            <w:rPr>
              <w:rFonts w:asciiTheme="minorHAnsi" w:eastAsiaTheme="minorEastAsia" w:hAnsiTheme="minorHAnsi" w:cstheme="minorBidi"/>
              <w:noProof/>
              <w:sz w:val="22"/>
              <w:lang w:eastAsia="en-AU"/>
            </w:rPr>
          </w:pPr>
          <w:hyperlink w:anchor="_Toc147824136" w:history="1">
            <w:r w:rsidR="00131CED" w:rsidRPr="0098088F">
              <w:rPr>
                <w:rStyle w:val="Hyperlink"/>
                <w:noProof/>
              </w:rPr>
              <w:t>Case study 3: May Downs Road, pave and seal project</w:t>
            </w:r>
            <w:r w:rsidR="00131CED">
              <w:rPr>
                <w:noProof/>
                <w:webHidden/>
              </w:rPr>
              <w:tab/>
            </w:r>
            <w:r w:rsidR="00131CED">
              <w:rPr>
                <w:noProof/>
                <w:webHidden/>
              </w:rPr>
              <w:fldChar w:fldCharType="begin"/>
            </w:r>
            <w:r w:rsidR="00131CED">
              <w:rPr>
                <w:noProof/>
                <w:webHidden/>
              </w:rPr>
              <w:instrText xml:space="preserve"> PAGEREF _Toc147824136 \h </w:instrText>
            </w:r>
            <w:r w:rsidR="00131CED">
              <w:rPr>
                <w:noProof/>
                <w:webHidden/>
              </w:rPr>
            </w:r>
            <w:r w:rsidR="00131CED">
              <w:rPr>
                <w:noProof/>
                <w:webHidden/>
              </w:rPr>
              <w:fldChar w:fldCharType="separate"/>
            </w:r>
            <w:r w:rsidR="008409D7">
              <w:rPr>
                <w:noProof/>
                <w:webHidden/>
              </w:rPr>
              <w:t>10</w:t>
            </w:r>
            <w:r w:rsidR="00131CED">
              <w:rPr>
                <w:noProof/>
                <w:webHidden/>
              </w:rPr>
              <w:fldChar w:fldCharType="end"/>
            </w:r>
          </w:hyperlink>
        </w:p>
        <w:p w14:paraId="30C0F2BA" w14:textId="08E4F21D" w:rsidR="00131CED" w:rsidRDefault="00000000">
          <w:pPr>
            <w:pStyle w:val="TOC2"/>
            <w:rPr>
              <w:rFonts w:asciiTheme="minorHAnsi" w:eastAsiaTheme="minorEastAsia" w:hAnsiTheme="minorHAnsi" w:cstheme="minorBidi"/>
              <w:noProof/>
              <w:sz w:val="22"/>
              <w:lang w:eastAsia="en-AU"/>
            </w:rPr>
          </w:pPr>
          <w:hyperlink w:anchor="_Toc147824137" w:history="1">
            <w:r w:rsidR="00131CED" w:rsidRPr="0098088F">
              <w:rPr>
                <w:rStyle w:val="Hyperlink"/>
                <w:noProof/>
              </w:rPr>
              <w:t>Case study 4: ‘Big Jack’ Sarawak Avenue and Currumbin Creek Road bridges</w:t>
            </w:r>
            <w:r w:rsidR="00131CED">
              <w:rPr>
                <w:noProof/>
                <w:webHidden/>
              </w:rPr>
              <w:tab/>
            </w:r>
            <w:r w:rsidR="00131CED">
              <w:rPr>
                <w:noProof/>
                <w:webHidden/>
              </w:rPr>
              <w:fldChar w:fldCharType="begin"/>
            </w:r>
            <w:r w:rsidR="00131CED">
              <w:rPr>
                <w:noProof/>
                <w:webHidden/>
              </w:rPr>
              <w:instrText xml:space="preserve"> PAGEREF _Toc147824137 \h </w:instrText>
            </w:r>
            <w:r w:rsidR="00131CED">
              <w:rPr>
                <w:noProof/>
                <w:webHidden/>
              </w:rPr>
            </w:r>
            <w:r w:rsidR="00131CED">
              <w:rPr>
                <w:noProof/>
                <w:webHidden/>
              </w:rPr>
              <w:fldChar w:fldCharType="separate"/>
            </w:r>
            <w:r w:rsidR="008409D7">
              <w:rPr>
                <w:noProof/>
                <w:webHidden/>
              </w:rPr>
              <w:t>11</w:t>
            </w:r>
            <w:r w:rsidR="00131CED">
              <w:rPr>
                <w:noProof/>
                <w:webHidden/>
              </w:rPr>
              <w:fldChar w:fldCharType="end"/>
            </w:r>
          </w:hyperlink>
        </w:p>
        <w:p w14:paraId="752C8E6D" w14:textId="09F9912D" w:rsidR="00131CED" w:rsidRDefault="00000000">
          <w:pPr>
            <w:pStyle w:val="TOC1"/>
            <w:rPr>
              <w:rFonts w:asciiTheme="minorHAnsi" w:eastAsiaTheme="minorEastAsia" w:hAnsiTheme="minorHAnsi" w:cstheme="minorBidi"/>
              <w:noProof/>
              <w:sz w:val="22"/>
              <w:lang w:eastAsia="en-AU"/>
            </w:rPr>
          </w:pPr>
          <w:hyperlink w:anchor="_Toc147824138" w:history="1">
            <w:r w:rsidR="00131CED" w:rsidRPr="0098088F">
              <w:rPr>
                <w:rStyle w:val="Hyperlink"/>
                <w:noProof/>
              </w:rPr>
              <w:t>W2R Strategy implementation</w:t>
            </w:r>
            <w:r w:rsidR="00131CED">
              <w:rPr>
                <w:noProof/>
                <w:webHidden/>
              </w:rPr>
              <w:tab/>
            </w:r>
            <w:r w:rsidR="00131CED">
              <w:rPr>
                <w:noProof/>
                <w:webHidden/>
              </w:rPr>
              <w:fldChar w:fldCharType="begin"/>
            </w:r>
            <w:r w:rsidR="00131CED">
              <w:rPr>
                <w:noProof/>
                <w:webHidden/>
              </w:rPr>
              <w:instrText xml:space="preserve"> PAGEREF _Toc147824138 \h </w:instrText>
            </w:r>
            <w:r w:rsidR="00131CED">
              <w:rPr>
                <w:noProof/>
                <w:webHidden/>
              </w:rPr>
            </w:r>
            <w:r w:rsidR="00131CED">
              <w:rPr>
                <w:noProof/>
                <w:webHidden/>
              </w:rPr>
              <w:fldChar w:fldCharType="separate"/>
            </w:r>
            <w:r w:rsidR="008409D7">
              <w:rPr>
                <w:noProof/>
                <w:webHidden/>
              </w:rPr>
              <w:t>11</w:t>
            </w:r>
            <w:r w:rsidR="00131CED">
              <w:rPr>
                <w:noProof/>
                <w:webHidden/>
              </w:rPr>
              <w:fldChar w:fldCharType="end"/>
            </w:r>
          </w:hyperlink>
        </w:p>
        <w:p w14:paraId="4960E907" w14:textId="1A2FFD3D" w:rsidR="00131CED" w:rsidRDefault="00000000">
          <w:pPr>
            <w:pStyle w:val="TOC2"/>
            <w:rPr>
              <w:rFonts w:asciiTheme="minorHAnsi" w:eastAsiaTheme="minorEastAsia" w:hAnsiTheme="minorHAnsi" w:cstheme="minorBidi"/>
              <w:noProof/>
              <w:sz w:val="22"/>
              <w:lang w:eastAsia="en-AU"/>
            </w:rPr>
          </w:pPr>
          <w:hyperlink w:anchor="_Toc147824139" w:history="1">
            <w:r w:rsidR="00131CED" w:rsidRPr="0098088F">
              <w:rPr>
                <w:rStyle w:val="Hyperlink"/>
                <w:noProof/>
              </w:rPr>
              <w:t>Case study 5: Recycled materials in earthworks</w:t>
            </w:r>
            <w:r w:rsidR="00131CED">
              <w:rPr>
                <w:noProof/>
                <w:webHidden/>
              </w:rPr>
              <w:tab/>
            </w:r>
            <w:r w:rsidR="00131CED">
              <w:rPr>
                <w:noProof/>
                <w:webHidden/>
              </w:rPr>
              <w:fldChar w:fldCharType="begin"/>
            </w:r>
            <w:r w:rsidR="00131CED">
              <w:rPr>
                <w:noProof/>
                <w:webHidden/>
              </w:rPr>
              <w:instrText xml:space="preserve"> PAGEREF _Toc147824139 \h </w:instrText>
            </w:r>
            <w:r w:rsidR="00131CED">
              <w:rPr>
                <w:noProof/>
                <w:webHidden/>
              </w:rPr>
            </w:r>
            <w:r w:rsidR="00131CED">
              <w:rPr>
                <w:noProof/>
                <w:webHidden/>
              </w:rPr>
              <w:fldChar w:fldCharType="separate"/>
            </w:r>
            <w:r w:rsidR="008409D7">
              <w:rPr>
                <w:noProof/>
                <w:webHidden/>
              </w:rPr>
              <w:t>13</w:t>
            </w:r>
            <w:r w:rsidR="00131CED">
              <w:rPr>
                <w:noProof/>
                <w:webHidden/>
              </w:rPr>
              <w:fldChar w:fldCharType="end"/>
            </w:r>
          </w:hyperlink>
        </w:p>
        <w:p w14:paraId="25D88E15" w14:textId="714F750E" w:rsidR="00131CED" w:rsidRDefault="00000000">
          <w:pPr>
            <w:pStyle w:val="TOC2"/>
            <w:rPr>
              <w:rFonts w:asciiTheme="minorHAnsi" w:eastAsiaTheme="minorEastAsia" w:hAnsiTheme="minorHAnsi" w:cstheme="minorBidi"/>
              <w:noProof/>
              <w:sz w:val="22"/>
              <w:lang w:eastAsia="en-AU"/>
            </w:rPr>
          </w:pPr>
          <w:hyperlink w:anchor="_Toc147824140" w:history="1">
            <w:r w:rsidR="00131CED" w:rsidRPr="0098088F">
              <w:rPr>
                <w:rStyle w:val="Hyperlink"/>
                <w:noProof/>
              </w:rPr>
              <w:t>Case study 6: Recycled material supplier database</w:t>
            </w:r>
            <w:r w:rsidR="00131CED">
              <w:rPr>
                <w:noProof/>
                <w:webHidden/>
              </w:rPr>
              <w:tab/>
            </w:r>
            <w:r w:rsidR="00131CED">
              <w:rPr>
                <w:noProof/>
                <w:webHidden/>
              </w:rPr>
              <w:fldChar w:fldCharType="begin"/>
            </w:r>
            <w:r w:rsidR="00131CED">
              <w:rPr>
                <w:noProof/>
                <w:webHidden/>
              </w:rPr>
              <w:instrText xml:space="preserve"> PAGEREF _Toc147824140 \h </w:instrText>
            </w:r>
            <w:r w:rsidR="00131CED">
              <w:rPr>
                <w:noProof/>
                <w:webHidden/>
              </w:rPr>
            </w:r>
            <w:r w:rsidR="00131CED">
              <w:rPr>
                <w:noProof/>
                <w:webHidden/>
              </w:rPr>
              <w:fldChar w:fldCharType="separate"/>
            </w:r>
            <w:r w:rsidR="008409D7">
              <w:rPr>
                <w:noProof/>
                <w:webHidden/>
              </w:rPr>
              <w:t>13</w:t>
            </w:r>
            <w:r w:rsidR="00131CED">
              <w:rPr>
                <w:noProof/>
                <w:webHidden/>
              </w:rPr>
              <w:fldChar w:fldCharType="end"/>
            </w:r>
          </w:hyperlink>
        </w:p>
        <w:p w14:paraId="7FCF7B9D" w14:textId="180B2646" w:rsidR="00131CED" w:rsidRDefault="00000000">
          <w:pPr>
            <w:pStyle w:val="TOC2"/>
            <w:rPr>
              <w:rFonts w:asciiTheme="minorHAnsi" w:eastAsiaTheme="minorEastAsia" w:hAnsiTheme="minorHAnsi" w:cstheme="minorBidi"/>
              <w:noProof/>
              <w:sz w:val="22"/>
              <w:lang w:eastAsia="en-AU"/>
            </w:rPr>
          </w:pPr>
          <w:hyperlink w:anchor="_Toc147824141" w:history="1">
            <w:r w:rsidR="00131CED" w:rsidRPr="0098088F">
              <w:rPr>
                <w:rStyle w:val="Hyperlink"/>
                <w:noProof/>
              </w:rPr>
              <w:t>Case study 7: Sustainability Assessment Tool for Pavements (SAT4P)</w:t>
            </w:r>
            <w:r w:rsidR="00131CED">
              <w:rPr>
                <w:noProof/>
                <w:webHidden/>
              </w:rPr>
              <w:tab/>
            </w:r>
            <w:r w:rsidR="00131CED">
              <w:rPr>
                <w:noProof/>
                <w:webHidden/>
              </w:rPr>
              <w:fldChar w:fldCharType="begin"/>
            </w:r>
            <w:r w:rsidR="00131CED">
              <w:rPr>
                <w:noProof/>
                <w:webHidden/>
              </w:rPr>
              <w:instrText xml:space="preserve"> PAGEREF _Toc147824141 \h </w:instrText>
            </w:r>
            <w:r w:rsidR="00131CED">
              <w:rPr>
                <w:noProof/>
                <w:webHidden/>
              </w:rPr>
            </w:r>
            <w:r w:rsidR="00131CED">
              <w:rPr>
                <w:noProof/>
                <w:webHidden/>
              </w:rPr>
              <w:fldChar w:fldCharType="separate"/>
            </w:r>
            <w:r w:rsidR="008409D7">
              <w:rPr>
                <w:noProof/>
                <w:webHidden/>
              </w:rPr>
              <w:t>14</w:t>
            </w:r>
            <w:r w:rsidR="00131CED">
              <w:rPr>
                <w:noProof/>
                <w:webHidden/>
              </w:rPr>
              <w:fldChar w:fldCharType="end"/>
            </w:r>
          </w:hyperlink>
        </w:p>
        <w:p w14:paraId="55C63AE2" w14:textId="589C46B0" w:rsidR="00131CED" w:rsidRDefault="00000000">
          <w:pPr>
            <w:pStyle w:val="TOC1"/>
            <w:rPr>
              <w:rFonts w:asciiTheme="minorHAnsi" w:eastAsiaTheme="minorEastAsia" w:hAnsiTheme="minorHAnsi" w:cstheme="minorBidi"/>
              <w:noProof/>
              <w:sz w:val="22"/>
              <w:lang w:eastAsia="en-AU"/>
            </w:rPr>
          </w:pPr>
          <w:hyperlink w:anchor="_Toc147824142" w:history="1">
            <w:r w:rsidR="00131CED" w:rsidRPr="0098088F">
              <w:rPr>
                <w:rStyle w:val="Hyperlink"/>
                <w:noProof/>
              </w:rPr>
              <w:t xml:space="preserve">Appendix A: Department of Environment and Science </w:t>
            </w:r>
            <w:r w:rsidR="00950E8E">
              <w:rPr>
                <w:rStyle w:val="Hyperlink"/>
                <w:noProof/>
              </w:rPr>
              <w:br/>
            </w:r>
            <w:r w:rsidR="00131CED" w:rsidRPr="0098088F">
              <w:rPr>
                <w:rStyle w:val="Hyperlink"/>
                <w:noProof/>
              </w:rPr>
              <w:t>State Entity Reporting Template</w:t>
            </w:r>
            <w:r w:rsidR="00131CED">
              <w:rPr>
                <w:noProof/>
                <w:webHidden/>
              </w:rPr>
              <w:tab/>
            </w:r>
            <w:r w:rsidR="00131CED">
              <w:rPr>
                <w:noProof/>
                <w:webHidden/>
              </w:rPr>
              <w:fldChar w:fldCharType="begin"/>
            </w:r>
            <w:r w:rsidR="00131CED">
              <w:rPr>
                <w:noProof/>
                <w:webHidden/>
              </w:rPr>
              <w:instrText xml:space="preserve"> PAGEREF _Toc147824142 \h </w:instrText>
            </w:r>
            <w:r w:rsidR="00131CED">
              <w:rPr>
                <w:noProof/>
                <w:webHidden/>
              </w:rPr>
            </w:r>
            <w:r w:rsidR="00131CED">
              <w:rPr>
                <w:noProof/>
                <w:webHidden/>
              </w:rPr>
              <w:fldChar w:fldCharType="separate"/>
            </w:r>
            <w:r w:rsidR="008409D7">
              <w:rPr>
                <w:noProof/>
                <w:webHidden/>
              </w:rPr>
              <w:t>15</w:t>
            </w:r>
            <w:r w:rsidR="00131CED">
              <w:rPr>
                <w:noProof/>
                <w:webHidden/>
              </w:rPr>
              <w:fldChar w:fldCharType="end"/>
            </w:r>
          </w:hyperlink>
        </w:p>
        <w:p w14:paraId="65F1F194" w14:textId="30CDCBE4" w:rsidR="00985513" w:rsidRPr="0039389D" w:rsidRDefault="00131CED">
          <w:pPr>
            <w:rPr>
              <w:sz w:val="24"/>
              <w:szCs w:val="24"/>
            </w:rPr>
          </w:pPr>
          <w:r>
            <w:rPr>
              <w:sz w:val="24"/>
              <w:szCs w:val="24"/>
            </w:rPr>
            <w:fldChar w:fldCharType="end"/>
          </w:r>
        </w:p>
      </w:sdtContent>
    </w:sdt>
    <w:p w14:paraId="421CF6FD" w14:textId="77777777" w:rsidR="00B24409" w:rsidRDefault="00B24409" w:rsidP="00DD1BA3">
      <w:pPr>
        <w:pStyle w:val="BodyText"/>
      </w:pPr>
    </w:p>
    <w:p w14:paraId="5BB7390C" w14:textId="77777777" w:rsidR="00361356" w:rsidRDefault="00361356" w:rsidP="00B27171">
      <w:pPr>
        <w:pStyle w:val="Heading1"/>
        <w:sectPr w:rsidR="00361356" w:rsidSect="00973ED8">
          <w:headerReference w:type="default" r:id="rId9"/>
          <w:footerReference w:type="default" r:id="rId10"/>
          <w:pgSz w:w="11906" w:h="16838"/>
          <w:pgMar w:top="1134" w:right="1077" w:bottom="1134" w:left="1077" w:header="510" w:footer="454" w:gutter="0"/>
          <w:pgNumType w:fmt="lowerRoman" w:start="1"/>
          <w:cols w:space="708"/>
          <w:docGrid w:linePitch="360"/>
        </w:sectPr>
      </w:pPr>
      <w:bookmarkStart w:id="0" w:name="_Toc145588816"/>
      <w:bookmarkStart w:id="1" w:name="_Toc145592664"/>
    </w:p>
    <w:p w14:paraId="20F7D3CA" w14:textId="2E9F5503" w:rsidR="008D39B0" w:rsidRDefault="008D39B0" w:rsidP="00B27171">
      <w:pPr>
        <w:pStyle w:val="Heading1"/>
      </w:pPr>
      <w:bookmarkStart w:id="2" w:name="_Toc147824128"/>
      <w:r>
        <w:lastRenderedPageBreak/>
        <w:t>Executive summary</w:t>
      </w:r>
      <w:bookmarkEnd w:id="0"/>
      <w:bookmarkEnd w:id="1"/>
      <w:bookmarkEnd w:id="2"/>
    </w:p>
    <w:p w14:paraId="02EAD4CB" w14:textId="77777777" w:rsidR="00FF05B5" w:rsidRPr="00973ED8" w:rsidRDefault="00FF05B5" w:rsidP="00FF05B5">
      <w:pPr>
        <w:rPr>
          <w:sz w:val="24"/>
          <w:szCs w:val="24"/>
        </w:rPr>
      </w:pPr>
      <w:r w:rsidRPr="00973ED8">
        <w:rPr>
          <w:sz w:val="24"/>
          <w:szCs w:val="24"/>
        </w:rPr>
        <w:t xml:space="preserve">The Department of Transport and Main Roads’ (TMR) current </w:t>
      </w:r>
      <w:r w:rsidRPr="00973ED8">
        <w:rPr>
          <w:i/>
          <w:iCs/>
          <w:sz w:val="24"/>
          <w:szCs w:val="24"/>
        </w:rPr>
        <w:t>Waste Reduction and Recycling Plan</w:t>
      </w:r>
      <w:r w:rsidRPr="00973ED8">
        <w:rPr>
          <w:sz w:val="24"/>
          <w:szCs w:val="24"/>
        </w:rPr>
        <w:t>, the</w:t>
      </w:r>
      <w:r w:rsidRPr="00973ED8">
        <w:rPr>
          <w:i/>
          <w:iCs/>
          <w:sz w:val="24"/>
          <w:szCs w:val="24"/>
        </w:rPr>
        <w:t xml:space="preserve"> Waste 2 Resource Strategy</w:t>
      </w:r>
      <w:r w:rsidRPr="00973ED8">
        <w:rPr>
          <w:sz w:val="24"/>
          <w:szCs w:val="24"/>
        </w:rPr>
        <w:t>, was published in 2022. It sets out the strategy for TMR to reduce waste and to monitor waste generation and diversion from landfill.</w:t>
      </w:r>
    </w:p>
    <w:p w14:paraId="12DEA01F" w14:textId="340C90C6" w:rsidR="00B27171" w:rsidRPr="00973ED8" w:rsidRDefault="00FF05B5" w:rsidP="00B27171">
      <w:pPr>
        <w:rPr>
          <w:sz w:val="24"/>
          <w:szCs w:val="24"/>
        </w:rPr>
      </w:pPr>
      <w:r w:rsidRPr="00973ED8">
        <w:rPr>
          <w:sz w:val="24"/>
          <w:szCs w:val="24"/>
        </w:rPr>
        <w:t>Figure 1 and Table 1 below provide a summary of the waste data for the 2022–2023 reporting year and the following report outlines how these outcomes were achieved.</w:t>
      </w:r>
    </w:p>
    <w:p w14:paraId="3F3B3378" w14:textId="77777777" w:rsidR="007850FE" w:rsidRDefault="007850FE" w:rsidP="00B45325">
      <w:pPr>
        <w:pStyle w:val="NoSpacing"/>
        <w:jc w:val="center"/>
      </w:pPr>
      <w:r>
        <w:rPr>
          <w:noProof/>
        </w:rPr>
        <w:drawing>
          <wp:inline distT="0" distB="0" distL="0" distR="0" wp14:anchorId="4B3F0F34" wp14:editId="38BDDCBD">
            <wp:extent cx="5025600" cy="2296800"/>
            <wp:effectExtent l="0" t="0" r="3810" b="8255"/>
            <wp:docPr id="12" name="Picture 12" descr="The diversion rate has decreased in 2022-2023 compared to 2021-2022.  There is an increase in waste generated in 2022-2023 compared to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diversion rate has decreased in 2022-2023 compared to 2021-2022.  There is an increase in waste generated in 2022-2023 compared to 2021-2022."/>
                    <pic:cNvPicPr/>
                  </pic:nvPicPr>
                  <pic:blipFill>
                    <a:blip r:embed="rId11">
                      <a:extLst>
                        <a:ext uri="{28A0092B-C50C-407E-A947-70E740481C1C}">
                          <a14:useLocalDpi xmlns:a14="http://schemas.microsoft.com/office/drawing/2010/main" val="0"/>
                        </a:ext>
                      </a:extLst>
                    </a:blip>
                    <a:stretch>
                      <a:fillRect/>
                    </a:stretch>
                  </pic:blipFill>
                  <pic:spPr>
                    <a:xfrm>
                      <a:off x="0" y="0"/>
                      <a:ext cx="5025600" cy="2296800"/>
                    </a:xfrm>
                    <a:prstGeom prst="rect">
                      <a:avLst/>
                    </a:prstGeom>
                    <a:ln>
                      <a:noFill/>
                    </a:ln>
                  </pic:spPr>
                </pic:pic>
              </a:graphicData>
            </a:graphic>
          </wp:inline>
        </w:drawing>
      </w:r>
    </w:p>
    <w:p w14:paraId="70FBCD83" w14:textId="3AABD90A" w:rsidR="007850FE" w:rsidRPr="00A653A9" w:rsidRDefault="007850FE" w:rsidP="003F0203">
      <w:pPr>
        <w:pStyle w:val="Caption"/>
        <w:ind w:left="567" w:firstLine="567"/>
      </w:pPr>
      <w:r w:rsidRPr="00A653A9">
        <w:t xml:space="preserve">Figure </w:t>
      </w:r>
      <w:fldSimple w:instr=" SEQ Figure \* ARABIC ">
        <w:r w:rsidR="008409D7" w:rsidRPr="00A653A9">
          <w:t>1</w:t>
        </w:r>
      </w:fldSimple>
      <w:r w:rsidRPr="00A653A9">
        <w:t>: Annual trends</w:t>
      </w:r>
      <w:r w:rsidR="00973ED8" w:rsidRPr="00A653A9">
        <w:t>.</w:t>
      </w:r>
    </w:p>
    <w:p w14:paraId="6F444481" w14:textId="439EFA15" w:rsidR="007850FE" w:rsidRDefault="007850FE" w:rsidP="00B45325">
      <w:pPr>
        <w:pStyle w:val="NoSpacing"/>
        <w:jc w:val="center"/>
      </w:pPr>
      <w:r>
        <w:rPr>
          <w:noProof/>
        </w:rPr>
        <w:drawing>
          <wp:inline distT="0" distB="0" distL="0" distR="0" wp14:anchorId="3607259F" wp14:editId="41424C84">
            <wp:extent cx="5025600" cy="3250800"/>
            <wp:effectExtent l="0" t="0" r="3810" b="6985"/>
            <wp:docPr id="6" name="Picture 6" descr="Table of waste streams showing the mass in tonnes generated, diverted and landfilled. A text form of this table is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waste streams showing the mass in tonnes generated, diverted and landfilled. A text form of this table is in Appendix A."/>
                    <pic:cNvPicPr/>
                  </pic:nvPicPr>
                  <pic:blipFill>
                    <a:blip r:embed="rId12">
                      <a:extLst>
                        <a:ext uri="{28A0092B-C50C-407E-A947-70E740481C1C}">
                          <a14:useLocalDpi xmlns:a14="http://schemas.microsoft.com/office/drawing/2010/main" val="0"/>
                        </a:ext>
                      </a:extLst>
                    </a:blip>
                    <a:stretch>
                      <a:fillRect/>
                    </a:stretch>
                  </pic:blipFill>
                  <pic:spPr>
                    <a:xfrm>
                      <a:off x="0" y="0"/>
                      <a:ext cx="5025600" cy="3250800"/>
                    </a:xfrm>
                    <a:prstGeom prst="rect">
                      <a:avLst/>
                    </a:prstGeom>
                    <a:ln>
                      <a:noFill/>
                    </a:ln>
                  </pic:spPr>
                </pic:pic>
              </a:graphicData>
            </a:graphic>
          </wp:inline>
        </w:drawing>
      </w:r>
    </w:p>
    <w:p w14:paraId="487FA9B3" w14:textId="44ECC9E6" w:rsidR="00FF05B5" w:rsidRPr="005115D8" w:rsidRDefault="005115D8" w:rsidP="007850FE">
      <w:pPr>
        <w:rPr>
          <w:sz w:val="24"/>
          <w:szCs w:val="24"/>
        </w:rPr>
      </w:pPr>
      <w:r>
        <w:rPr>
          <w:noProof/>
        </w:rPr>
        <mc:AlternateContent>
          <mc:Choice Requires="wps">
            <w:drawing>
              <wp:anchor distT="0" distB="0" distL="114300" distR="114300" simplePos="0" relativeHeight="251660288" behindDoc="0" locked="0" layoutInCell="1" allowOverlap="1" wp14:anchorId="5B36F4C5" wp14:editId="692AD522">
                <wp:simplePos x="0" y="0"/>
                <wp:positionH relativeFrom="margin">
                  <wp:posOffset>574040</wp:posOffset>
                </wp:positionH>
                <wp:positionV relativeFrom="paragraph">
                  <wp:posOffset>141605</wp:posOffset>
                </wp:positionV>
                <wp:extent cx="556958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69585" cy="1828800"/>
                        </a:xfrm>
                        <a:prstGeom prst="rect">
                          <a:avLst/>
                        </a:prstGeom>
                        <a:noFill/>
                        <a:ln w="6350">
                          <a:noFill/>
                        </a:ln>
                      </wps:spPr>
                      <wps:txbx>
                        <w:txbxContent>
                          <w:p w14:paraId="1B1B0D1A" w14:textId="77777777" w:rsidR="005115D8" w:rsidRPr="00497800" w:rsidRDefault="005115D8" w:rsidP="00A653A9">
                            <w:pPr>
                              <w:pStyle w:val="Caption"/>
                            </w:pPr>
                            <w:r w:rsidRPr="005115D8">
                              <w:t xml:space="preserve">Table 1: Annual TMR Waste Data Summary 2022–2023 (highlighted are </w:t>
                            </w:r>
                            <w:r>
                              <w:t xml:space="preserve">  </w:t>
                            </w:r>
                            <w:r w:rsidRPr="005115D8">
                              <w:t>quantities).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36F4C5" id="_x0000_t202" coordsize="21600,21600" o:spt="202" path="m,l,21600r21600,l21600,xe">
                <v:stroke joinstyle="miter"/>
                <v:path gradientshapeok="t" o:connecttype="rect"/>
              </v:shapetype>
              <v:shape id="Text Box 7" o:spid="_x0000_s1026" type="#_x0000_t202" style="position:absolute;margin-left:45.2pt;margin-top:11.15pt;width:438.5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" filled="f" stroked="f" strokeweight=".5pt">
                <v:textbox style="mso-fit-shape-to-text:t">
                  <w:txbxContent>
                    <w:p w14:paraId="1B1B0D1A" w14:textId="77777777" w:rsidR="005115D8" w:rsidRPr="00497800" w:rsidRDefault="005115D8" w:rsidP="00A653A9">
                      <w:pPr>
                        <w:pStyle w:val="Caption"/>
                      </w:pPr>
                      <w:r w:rsidRPr="005115D8">
                        <w:t xml:space="preserve">Table 1: Annual TMR Waste Data Summary 2022–2023 (highlighted are </w:t>
                      </w:r>
                      <w:r>
                        <w:t xml:space="preserve">  </w:t>
                      </w:r>
                      <w:r w:rsidRPr="005115D8">
                        <w:t>quantities).</w:t>
                      </w:r>
                    </w:p>
                  </w:txbxContent>
                </v:textbox>
                <w10:wrap type="square" anchorx="margin"/>
              </v:shape>
            </w:pict>
          </mc:Fallback>
        </mc:AlternateContent>
      </w:r>
      <w:r w:rsidR="00985B66" w:rsidRPr="005115D8">
        <w:rPr>
          <w:b/>
          <w:bCs/>
          <w:color w:val="002060"/>
          <w:sz w:val="24"/>
          <w:szCs w:val="24"/>
        </w:rPr>
        <w:t xml:space="preserve">              </w:t>
      </w:r>
    </w:p>
    <w:p w14:paraId="2F23E37C" w14:textId="6CB2EB64" w:rsidR="008D39B0" w:rsidRDefault="008D39B0" w:rsidP="00973ED8">
      <w:pPr>
        <w:pStyle w:val="Heading1"/>
        <w:pageBreakBefore/>
      </w:pPr>
      <w:bookmarkStart w:id="3" w:name="_Toc145588817"/>
      <w:bookmarkStart w:id="4" w:name="_Toc145592665"/>
      <w:bookmarkStart w:id="5" w:name="_Toc147824129"/>
      <w:r>
        <w:lastRenderedPageBreak/>
        <w:t>Introduction</w:t>
      </w:r>
      <w:bookmarkEnd w:id="3"/>
      <w:bookmarkEnd w:id="4"/>
      <w:bookmarkEnd w:id="5"/>
    </w:p>
    <w:p w14:paraId="07C0709A" w14:textId="77777777" w:rsidR="007850FE" w:rsidRPr="00973ED8" w:rsidRDefault="007850FE" w:rsidP="007850FE">
      <w:pPr>
        <w:rPr>
          <w:sz w:val="24"/>
          <w:szCs w:val="24"/>
        </w:rPr>
      </w:pPr>
      <w:r w:rsidRPr="00973ED8">
        <w:rPr>
          <w:sz w:val="24"/>
          <w:szCs w:val="24"/>
        </w:rPr>
        <w:t>TMR is a large, complex, diverse, and decentralised organisation, responsible for the management of different modes of transport including motor vehicle, rail, bus, bike, pedestrian, personal mobility devices and boating. TMR operations include the construction and maintenance of linear transport infrastructure, transport and office facilities, public rest areas, and customer service centres all of which generate a wide variety of waste streams due to the diversity and scale of operations.</w:t>
      </w:r>
    </w:p>
    <w:p w14:paraId="363C93FB" w14:textId="1D9DF8F3" w:rsidR="007850FE" w:rsidRPr="00973ED8" w:rsidRDefault="007850FE" w:rsidP="007850FE">
      <w:pPr>
        <w:rPr>
          <w:sz w:val="24"/>
          <w:szCs w:val="24"/>
        </w:rPr>
      </w:pPr>
      <w:r w:rsidRPr="00973ED8">
        <w:rPr>
          <w:sz w:val="24"/>
          <w:szCs w:val="24"/>
        </w:rPr>
        <w:t xml:space="preserve">The Queensland Government has a vision to become a zero-waste organisation, where waste is avoided, reused, and recycled to the greatest extent possible. </w:t>
      </w:r>
      <w:hyperlink r:id="rId13" w:history="1">
        <w:r w:rsidRPr="00973ED8">
          <w:rPr>
            <w:rStyle w:val="Hyperlink"/>
            <w:i/>
            <w:iCs/>
            <w:sz w:val="24"/>
            <w:szCs w:val="24"/>
          </w:rPr>
          <w:t>The 2020 Waste Management and Resource Recovery Strategy</w:t>
        </w:r>
      </w:hyperlink>
      <w:r w:rsidRPr="00973ED8">
        <w:rPr>
          <w:sz w:val="24"/>
          <w:szCs w:val="24"/>
        </w:rPr>
        <w:t xml:space="preserve"> (WMRRS) released by the Department of Environment and Science identifies strategic targets that support this vision.</w:t>
      </w:r>
    </w:p>
    <w:p w14:paraId="26FD5324" w14:textId="4D05CCF0" w:rsidR="007850FE" w:rsidRPr="00973ED8" w:rsidRDefault="007850FE" w:rsidP="007850FE">
      <w:pPr>
        <w:rPr>
          <w:sz w:val="24"/>
          <w:szCs w:val="24"/>
        </w:rPr>
      </w:pPr>
      <w:r w:rsidRPr="00973ED8">
        <w:rPr>
          <w:sz w:val="24"/>
          <w:szCs w:val="24"/>
        </w:rPr>
        <w:t xml:space="preserve">Queensland’s </w:t>
      </w:r>
      <w:r w:rsidRPr="00973ED8">
        <w:rPr>
          <w:i/>
          <w:iCs/>
          <w:sz w:val="24"/>
          <w:szCs w:val="24"/>
        </w:rPr>
        <w:t>Waste Reduction and Recycling Act 2011</w:t>
      </w:r>
      <w:r w:rsidRPr="00973ED8">
        <w:rPr>
          <w:sz w:val="24"/>
          <w:szCs w:val="24"/>
        </w:rPr>
        <w:t xml:space="preserve"> also imposes a requirement on each Queensland Government department to develop a </w:t>
      </w:r>
      <w:r w:rsidRPr="00973ED8">
        <w:rPr>
          <w:i/>
          <w:iCs/>
          <w:sz w:val="24"/>
          <w:szCs w:val="24"/>
        </w:rPr>
        <w:t>Waste Reduction and Recycling Plan</w:t>
      </w:r>
      <w:r w:rsidRPr="00973ED8">
        <w:rPr>
          <w:sz w:val="24"/>
          <w:szCs w:val="24"/>
        </w:rPr>
        <w:t xml:space="preserve"> and to report on waste management achievements.</w:t>
      </w:r>
    </w:p>
    <w:p w14:paraId="42C194BC" w14:textId="092AF671" w:rsidR="008D39B0" w:rsidRDefault="008D39B0" w:rsidP="00B27171">
      <w:pPr>
        <w:pStyle w:val="Heading2"/>
      </w:pPr>
      <w:bookmarkStart w:id="6" w:name="_Toc145588818"/>
      <w:bookmarkStart w:id="7" w:name="_Toc145592666"/>
      <w:bookmarkStart w:id="8" w:name="_Toc147824130"/>
      <w:r>
        <w:t>Targets</w:t>
      </w:r>
      <w:bookmarkEnd w:id="6"/>
      <w:bookmarkEnd w:id="7"/>
      <w:bookmarkEnd w:id="8"/>
    </w:p>
    <w:p w14:paraId="022A6BF4" w14:textId="77777777" w:rsidR="007850FE" w:rsidRPr="00973ED8" w:rsidRDefault="007850FE" w:rsidP="007850FE">
      <w:pPr>
        <w:rPr>
          <w:sz w:val="24"/>
          <w:szCs w:val="24"/>
        </w:rPr>
      </w:pPr>
      <w:r w:rsidRPr="00973ED8">
        <w:rPr>
          <w:sz w:val="24"/>
          <w:szCs w:val="24"/>
        </w:rPr>
        <w:t>The WMRRS identifies four main destinations for waste: landfill, recycling, reuse, and energy recovery. Waste diversion is a measure of waste that is not sent to landfill and includes waste that is sent for recycling, reused, or is used for energy recovery. As TMR does not direct any waste to energy recovery, waste diversion in this report only includes materials that are recycled or reused.</w:t>
      </w:r>
    </w:p>
    <w:p w14:paraId="503D064C" w14:textId="57A2A649" w:rsidR="007850FE" w:rsidRPr="00973ED8" w:rsidRDefault="007850FE" w:rsidP="007850FE">
      <w:pPr>
        <w:rPr>
          <w:sz w:val="24"/>
          <w:szCs w:val="24"/>
        </w:rPr>
      </w:pPr>
      <w:r w:rsidRPr="00973ED8">
        <w:rPr>
          <w:sz w:val="24"/>
          <w:szCs w:val="24"/>
        </w:rPr>
        <w:t>The WMRRS identifies waste diversion targets and recycling rate targets. Recycling rate targets are based on materials that are recycled or reused. For TMR, waste diversion targets and recycling rate targets measure the same thing as waste can only be diverted from landfill by either recycling or reusing it. As most waste in TMR is generated from construction and demolition activities, TMR has adopted the waste diversion targets for construction and demolition as described in the WMRRS.</w:t>
      </w:r>
    </w:p>
    <w:p w14:paraId="6E9567BF" w14:textId="77777777" w:rsidR="007850FE" w:rsidRPr="005115D8" w:rsidRDefault="007850FE" w:rsidP="00B45325">
      <w:pPr>
        <w:pStyle w:val="NoSpacing"/>
        <w:jc w:val="center"/>
        <w:rPr>
          <w:sz w:val="24"/>
          <w:szCs w:val="24"/>
        </w:rPr>
      </w:pPr>
      <w:r w:rsidRPr="005115D8">
        <w:rPr>
          <w:noProof/>
          <w:sz w:val="24"/>
          <w:szCs w:val="24"/>
        </w:rPr>
        <w:drawing>
          <wp:inline distT="0" distB="0" distL="0" distR="0" wp14:anchorId="004F2412" wp14:editId="31573989">
            <wp:extent cx="5025600" cy="2257200"/>
            <wp:effectExtent l="0" t="0" r="3810" b="0"/>
            <wp:docPr id="13" name="Picture 13" descr="The diversion target was 51% in 2017-18 and is increasing each year to 75%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iversion target was 51% in 2017-18 and is increasing each year to 75% in 2024-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5600" cy="2257200"/>
                    </a:xfrm>
                    <a:prstGeom prst="rect">
                      <a:avLst/>
                    </a:prstGeom>
                    <a:ln>
                      <a:noFill/>
                    </a:ln>
                    <a:extLst>
                      <a:ext uri="{53640926-AAD7-44D8-BBD7-CCE9431645EC}">
                        <a14:shadowObscured xmlns:a14="http://schemas.microsoft.com/office/drawing/2010/main"/>
                      </a:ext>
                    </a:extLst>
                  </pic:spPr>
                </pic:pic>
              </a:graphicData>
            </a:graphic>
          </wp:inline>
        </w:drawing>
      </w:r>
    </w:p>
    <w:p w14:paraId="15D2233A" w14:textId="3E469935" w:rsidR="007850FE" w:rsidRPr="00A653A9" w:rsidRDefault="003F0203" w:rsidP="003F0203">
      <w:pPr>
        <w:pStyle w:val="Caption"/>
        <w:ind w:left="567"/>
      </w:pPr>
      <w:r>
        <w:t xml:space="preserve">      </w:t>
      </w:r>
      <w:r w:rsidR="007850FE" w:rsidRPr="00A653A9">
        <w:t xml:space="preserve">Figure </w:t>
      </w:r>
      <w:r w:rsidR="00664AB2" w:rsidRPr="00A653A9">
        <w:t>2</w:t>
      </w:r>
      <w:r w:rsidR="007850FE" w:rsidRPr="00A653A9">
        <w:t xml:space="preserve">: TMR </w:t>
      </w:r>
      <w:r w:rsidR="00D65335" w:rsidRPr="00A653A9">
        <w:t>d</w:t>
      </w:r>
      <w:r w:rsidR="007850FE" w:rsidRPr="00A653A9">
        <w:t xml:space="preserve">iversion </w:t>
      </w:r>
      <w:r w:rsidR="00D65335" w:rsidRPr="00A653A9">
        <w:t>t</w:t>
      </w:r>
      <w:r w:rsidR="007850FE" w:rsidRPr="00A653A9">
        <w:t>arget (WMRRS)</w:t>
      </w:r>
      <w:r w:rsidR="00973ED8" w:rsidRPr="00A653A9">
        <w:t>.</w:t>
      </w:r>
    </w:p>
    <w:p w14:paraId="26B4C5F5" w14:textId="77777777" w:rsidR="007850FE" w:rsidRDefault="007850FE" w:rsidP="007850FE">
      <w:bookmarkStart w:id="9" w:name="_Toc145588819"/>
      <w:r>
        <w:br w:type="page"/>
      </w:r>
    </w:p>
    <w:p w14:paraId="61EA6A58" w14:textId="04698225" w:rsidR="008D39B0" w:rsidRDefault="008D39B0" w:rsidP="00B27171">
      <w:pPr>
        <w:pStyle w:val="Heading1"/>
      </w:pPr>
      <w:bookmarkStart w:id="10" w:name="_Toc145592667"/>
      <w:bookmarkStart w:id="11" w:name="_Toc147824131"/>
      <w:r>
        <w:lastRenderedPageBreak/>
        <w:t>Waste reporting</w:t>
      </w:r>
      <w:bookmarkEnd w:id="9"/>
      <w:bookmarkEnd w:id="10"/>
      <w:bookmarkEnd w:id="11"/>
    </w:p>
    <w:p w14:paraId="0853255A" w14:textId="4825ADFC" w:rsidR="000F5456" w:rsidRPr="00973ED8" w:rsidRDefault="000F5456" w:rsidP="000F5456">
      <w:pPr>
        <w:rPr>
          <w:sz w:val="24"/>
          <w:szCs w:val="24"/>
        </w:rPr>
      </w:pPr>
      <w:r w:rsidRPr="00973ED8">
        <w:rPr>
          <w:sz w:val="24"/>
          <w:szCs w:val="24"/>
        </w:rPr>
        <w:t>The following are highlights of the waste data from TMR for 2022–2023. The 2022–2023 year was the largest mass of waste reported since the reporting commenced in 2017.</w:t>
      </w:r>
      <w:r w:rsidR="00B57A6C">
        <w:rPr>
          <w:sz w:val="24"/>
          <w:szCs w:val="24"/>
        </w:rPr>
        <w:t xml:space="preserve"> </w:t>
      </w:r>
      <w:r w:rsidRPr="00973ED8">
        <w:rPr>
          <w:sz w:val="24"/>
          <w:szCs w:val="24"/>
        </w:rPr>
        <w:t>This is due to the number of projects reaching practical completion when there is a contractual reporting requirement, and a lot of these projects’ duration has been over a few years.</w:t>
      </w:r>
    </w:p>
    <w:p w14:paraId="1A79C663" w14:textId="4C155F49" w:rsidR="000F5456" w:rsidRPr="00973ED8" w:rsidRDefault="000F5456" w:rsidP="000F5456">
      <w:pPr>
        <w:rPr>
          <w:sz w:val="24"/>
          <w:szCs w:val="24"/>
        </w:rPr>
      </w:pPr>
      <w:r w:rsidRPr="00973ED8">
        <w:rPr>
          <w:sz w:val="24"/>
          <w:szCs w:val="24"/>
        </w:rPr>
        <w:t>The illegally dumped refuse waste stream encapsulates the roadside litter and War on Wrecks (WOW) program. The W</w:t>
      </w:r>
      <w:r w:rsidR="0095019A" w:rsidRPr="00973ED8">
        <w:rPr>
          <w:sz w:val="24"/>
          <w:szCs w:val="24"/>
        </w:rPr>
        <w:t>O</w:t>
      </w:r>
      <w:r w:rsidRPr="00973ED8">
        <w:rPr>
          <w:sz w:val="24"/>
          <w:szCs w:val="24"/>
        </w:rPr>
        <w:t>W program is the collection of derelict and illegally dumped vessels from Queensland waterways. Roadside litter includes rubbish from rest stops and rubbish that is left on TMR land and construction sites. The amount of illegal waste roadside litter has increased, and WOW has decreased from previous years.</w:t>
      </w:r>
    </w:p>
    <w:p w14:paraId="5EB2729F" w14:textId="703BCBDA" w:rsidR="000F5456" w:rsidRPr="00973ED8" w:rsidRDefault="000F5456" w:rsidP="000F5456">
      <w:pPr>
        <w:rPr>
          <w:sz w:val="24"/>
          <w:szCs w:val="24"/>
        </w:rPr>
      </w:pPr>
      <w:r w:rsidRPr="00973ED8">
        <w:rPr>
          <w:sz w:val="24"/>
          <w:szCs w:val="24"/>
        </w:rPr>
        <w:t>As TMR's work is civil, most of its waste is generated by the removal and construction of roads, with the addition of septic, due to the amount of temporary septic systems set up on projects and removed by contractors.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83"/>
      </w:tblGrid>
      <w:tr w:rsidR="00EE5FB2" w14:paraId="10F876C4" w14:textId="77777777" w:rsidTr="00DA3350">
        <w:tc>
          <w:tcPr>
            <w:tcW w:w="0" w:type="auto"/>
          </w:tcPr>
          <w:p w14:paraId="666B103B" w14:textId="6A33CDD1" w:rsidR="0022771A" w:rsidRDefault="00EE5FB2" w:rsidP="00915F1A">
            <w:pPr>
              <w:pStyle w:val="Caption"/>
            </w:pPr>
            <w:r>
              <w:rPr>
                <w:noProof/>
              </w:rPr>
              <w:drawing>
                <wp:inline distT="0" distB="0" distL="0" distR="0" wp14:anchorId="056FD62B" wp14:editId="73F9D29B">
                  <wp:extent cx="2829600" cy="8532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2829600" cy="853200"/>
                          </a:xfrm>
                          <a:prstGeom prst="rect">
                            <a:avLst/>
                          </a:prstGeom>
                        </pic:spPr>
                      </pic:pic>
                    </a:graphicData>
                  </a:graphic>
                </wp:inline>
              </w:drawing>
            </w:r>
            <w:r>
              <w:rPr>
                <w:noProof/>
              </w:rPr>
              <w:drawing>
                <wp:inline distT="0" distB="0" distL="0" distR="0" wp14:anchorId="46BCC27B" wp14:editId="04931C45">
                  <wp:extent cx="2847600" cy="1926000"/>
                  <wp:effectExtent l="0" t="0" r="0" b="0"/>
                  <wp:docPr id="16" name="Picture 16" descr="The diversion rate has decreased in 2022-2023 compared to 2021-2022 but is still above the target divers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diversion rate has decreased in 2022-2023 compared to 2021-2022 but is still above the target diversion rate. "/>
                          <pic:cNvPicPr/>
                        </pic:nvPicPr>
                        <pic:blipFill>
                          <a:blip r:embed="rId16">
                            <a:extLst>
                              <a:ext uri="{28A0092B-C50C-407E-A947-70E740481C1C}">
                                <a14:useLocalDpi xmlns:a14="http://schemas.microsoft.com/office/drawing/2010/main" val="0"/>
                              </a:ext>
                            </a:extLst>
                          </a:blip>
                          <a:stretch>
                            <a:fillRect/>
                          </a:stretch>
                        </pic:blipFill>
                        <pic:spPr>
                          <a:xfrm>
                            <a:off x="0" y="0"/>
                            <a:ext cx="2847600" cy="1926000"/>
                          </a:xfrm>
                          <a:prstGeom prst="rect">
                            <a:avLst/>
                          </a:prstGeom>
                        </pic:spPr>
                      </pic:pic>
                    </a:graphicData>
                  </a:graphic>
                </wp:inline>
              </w:drawing>
            </w:r>
            <w:r w:rsidR="0022771A" w:rsidRPr="005115D8">
              <w:t xml:space="preserve">Figure 3: Performance against </w:t>
            </w:r>
            <w:r w:rsidR="00B50476" w:rsidRPr="005115D8">
              <w:t>d</w:t>
            </w:r>
            <w:r w:rsidR="0022771A" w:rsidRPr="005115D8">
              <w:t xml:space="preserve">iversion </w:t>
            </w:r>
            <w:r w:rsidR="00B50476" w:rsidRPr="005115D8">
              <w:t>t</w:t>
            </w:r>
            <w:r w:rsidR="0022771A" w:rsidRPr="005115D8">
              <w:t>arget</w:t>
            </w:r>
            <w:r w:rsidR="00973ED8" w:rsidRPr="005115D8">
              <w:t>.</w:t>
            </w:r>
          </w:p>
        </w:tc>
        <w:tc>
          <w:tcPr>
            <w:tcW w:w="0" w:type="auto"/>
          </w:tcPr>
          <w:p w14:paraId="345A8DA3" w14:textId="287FFADC" w:rsidR="00EE5FB2" w:rsidRPr="00A653A9" w:rsidRDefault="008A3EC4" w:rsidP="00A653A9">
            <w:pPr>
              <w:pStyle w:val="Caption"/>
            </w:pPr>
            <w:r w:rsidRPr="00A653A9">
              <w:rPr>
                <w:noProof/>
              </w:rPr>
              <w:drawing>
                <wp:inline distT="0" distB="0" distL="0" distR="0" wp14:anchorId="7A6F4D4C" wp14:editId="7B864038">
                  <wp:extent cx="2887200" cy="853200"/>
                  <wp:effectExtent l="0" t="0" r="0" b="4445"/>
                  <wp:docPr id="17" name="Picture 17"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square with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87200" cy="853200"/>
                          </a:xfrm>
                          <a:prstGeom prst="rect">
                            <a:avLst/>
                          </a:prstGeom>
                        </pic:spPr>
                      </pic:pic>
                    </a:graphicData>
                  </a:graphic>
                </wp:inline>
              </w:drawing>
            </w:r>
            <w:r w:rsidRPr="00A653A9">
              <w:rPr>
                <w:noProof/>
              </w:rPr>
              <w:drawing>
                <wp:inline distT="0" distB="0" distL="0" distR="0" wp14:anchorId="49A7AB28" wp14:editId="66C713D3">
                  <wp:extent cx="2847600" cy="1926000"/>
                  <wp:effectExtent l="0" t="0" r="0" b="0"/>
                  <wp:docPr id="18" name="Picture 18" descr="There is an increase in waste generated in 2022-2023 compared to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re is an increase in waste generated in 2022-2023 compared to 2021-2022."/>
                          <pic:cNvPicPr/>
                        </pic:nvPicPr>
                        <pic:blipFill>
                          <a:blip r:embed="rId18">
                            <a:extLst>
                              <a:ext uri="{28A0092B-C50C-407E-A947-70E740481C1C}">
                                <a14:useLocalDpi xmlns:a14="http://schemas.microsoft.com/office/drawing/2010/main" val="0"/>
                              </a:ext>
                            </a:extLst>
                          </a:blip>
                          <a:stretch>
                            <a:fillRect/>
                          </a:stretch>
                        </pic:blipFill>
                        <pic:spPr>
                          <a:xfrm>
                            <a:off x="0" y="0"/>
                            <a:ext cx="2847600" cy="1926000"/>
                          </a:xfrm>
                          <a:prstGeom prst="rect">
                            <a:avLst/>
                          </a:prstGeom>
                        </pic:spPr>
                      </pic:pic>
                    </a:graphicData>
                  </a:graphic>
                </wp:inline>
              </w:drawing>
            </w:r>
            <w:r w:rsidR="00B50476" w:rsidRPr="00A653A9">
              <w:t xml:space="preserve"> </w:t>
            </w:r>
            <w:r w:rsidR="00B50476" w:rsidRPr="00915F1A">
              <w:t xml:space="preserve">Figure </w:t>
            </w:r>
            <w:r w:rsidR="00973ED8" w:rsidRPr="00915F1A">
              <w:t>4</w:t>
            </w:r>
            <w:r w:rsidR="00B50476" w:rsidRPr="00915F1A">
              <w:t>: Annual trends</w:t>
            </w:r>
            <w:r w:rsidR="00973ED8" w:rsidRPr="00915F1A">
              <w:t>.</w:t>
            </w:r>
          </w:p>
        </w:tc>
      </w:tr>
    </w:tbl>
    <w:p w14:paraId="326367E4" w14:textId="77777777" w:rsidR="00FD1EC6" w:rsidRPr="00973ED8" w:rsidRDefault="00FD1EC6" w:rsidP="00973E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199"/>
      </w:tblGrid>
      <w:tr w:rsidR="000F5456" w:rsidRPr="0095019A" w14:paraId="460D958F" w14:textId="77777777" w:rsidTr="00973ED8">
        <w:tc>
          <w:tcPr>
            <w:tcW w:w="0" w:type="auto"/>
          </w:tcPr>
          <w:p w14:paraId="0A355EB3" w14:textId="77777777" w:rsidR="000F5456" w:rsidRPr="00B57A6C" w:rsidRDefault="000F5456" w:rsidP="00973ED8">
            <w:pPr>
              <w:pStyle w:val="NoSpacing"/>
              <w:keepNext/>
              <w:keepLines/>
              <w:jc w:val="center"/>
              <w:rPr>
                <w:b/>
                <w:bCs/>
                <w:color w:val="002060"/>
                <w:szCs w:val="20"/>
              </w:rPr>
            </w:pPr>
            <w:r w:rsidRPr="00B57A6C">
              <w:rPr>
                <w:b/>
                <w:bCs/>
                <w:noProof/>
                <w:color w:val="002060"/>
                <w:szCs w:val="20"/>
              </w:rPr>
              <w:lastRenderedPageBreak/>
              <w:drawing>
                <wp:inline distT="0" distB="0" distL="0" distR="0" wp14:anchorId="65628E82" wp14:editId="601F0EFD">
                  <wp:extent cx="2710800" cy="907200"/>
                  <wp:effectExtent l="0" t="0" r="0" b="7620"/>
                  <wp:docPr id="34" name="Picture 34" descr="4.46 million dollars was spent to collect, transport and dispose of litter and illegal dumping i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4.46 million dollars was spent to collect, transport and dispose of litter and illegal dumping in 2022-2023."/>
                          <pic:cNvPicPr/>
                        </pic:nvPicPr>
                        <pic:blipFill>
                          <a:blip r:embed="rId19">
                            <a:extLst>
                              <a:ext uri="{28A0092B-C50C-407E-A947-70E740481C1C}">
                                <a14:useLocalDpi xmlns:a14="http://schemas.microsoft.com/office/drawing/2010/main" val="0"/>
                              </a:ext>
                            </a:extLst>
                          </a:blip>
                          <a:stretch>
                            <a:fillRect/>
                          </a:stretch>
                        </pic:blipFill>
                        <pic:spPr>
                          <a:xfrm>
                            <a:off x="0" y="0"/>
                            <a:ext cx="2710800" cy="907200"/>
                          </a:xfrm>
                          <a:prstGeom prst="rect">
                            <a:avLst/>
                          </a:prstGeom>
                        </pic:spPr>
                      </pic:pic>
                    </a:graphicData>
                  </a:graphic>
                </wp:inline>
              </w:drawing>
            </w:r>
          </w:p>
          <w:p w14:paraId="0407F114" w14:textId="77777777" w:rsidR="000F5456" w:rsidRPr="00B57A6C" w:rsidRDefault="000F5456" w:rsidP="00973ED8">
            <w:pPr>
              <w:pStyle w:val="NoSpacing"/>
              <w:keepNext/>
              <w:keepLines/>
              <w:rPr>
                <w:b/>
                <w:bCs/>
                <w:color w:val="002060"/>
                <w:szCs w:val="20"/>
              </w:rPr>
            </w:pPr>
            <w:r w:rsidRPr="00B57A6C">
              <w:rPr>
                <w:b/>
                <w:bCs/>
                <w:noProof/>
                <w:color w:val="002060"/>
                <w:szCs w:val="20"/>
              </w:rPr>
              <w:drawing>
                <wp:inline distT="0" distB="0" distL="0" distR="0" wp14:anchorId="65A945AE" wp14:editId="05602B38">
                  <wp:extent cx="2584800" cy="2084400"/>
                  <wp:effectExtent l="0" t="0" r="6350" b="0"/>
                  <wp:docPr id="10" name="Picture 10" descr="There has been a slight decrease in the amount of litter and illegal dumping in 2022/2023 compared to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re has been a slight decrease in the amount of litter and illegal dumping in 2022/2023 compared to 2021/2022."/>
                          <pic:cNvPicPr/>
                        </pic:nvPicPr>
                        <pic:blipFill>
                          <a:blip r:embed="rId20">
                            <a:extLst>
                              <a:ext uri="{28A0092B-C50C-407E-A947-70E740481C1C}">
                                <a14:useLocalDpi xmlns:a14="http://schemas.microsoft.com/office/drawing/2010/main" val="0"/>
                              </a:ext>
                            </a:extLst>
                          </a:blip>
                          <a:stretch>
                            <a:fillRect/>
                          </a:stretch>
                        </pic:blipFill>
                        <pic:spPr>
                          <a:xfrm>
                            <a:off x="0" y="0"/>
                            <a:ext cx="2584800" cy="2084400"/>
                          </a:xfrm>
                          <a:prstGeom prst="rect">
                            <a:avLst/>
                          </a:prstGeom>
                          <a:ln>
                            <a:noFill/>
                          </a:ln>
                        </pic:spPr>
                      </pic:pic>
                    </a:graphicData>
                  </a:graphic>
                </wp:inline>
              </w:drawing>
            </w:r>
          </w:p>
          <w:p w14:paraId="0403676D" w14:textId="28A6578D" w:rsidR="000F5456" w:rsidRPr="00A653A9" w:rsidRDefault="000F5456" w:rsidP="00A653A9">
            <w:pPr>
              <w:pStyle w:val="Caption"/>
            </w:pPr>
            <w:r w:rsidRPr="00A653A9">
              <w:t xml:space="preserve">Figure </w:t>
            </w:r>
            <w:r w:rsidR="00973ED8" w:rsidRPr="00A653A9">
              <w:t>5</w:t>
            </w:r>
            <w:r w:rsidRPr="00A653A9">
              <w:t xml:space="preserve">: Litter and </w:t>
            </w:r>
            <w:r w:rsidR="004B2DA2" w:rsidRPr="00A653A9">
              <w:t>i</w:t>
            </w:r>
            <w:r w:rsidRPr="00A653A9">
              <w:t xml:space="preserve">llegal </w:t>
            </w:r>
            <w:r w:rsidR="004B2DA2" w:rsidRPr="00A653A9">
              <w:t>d</w:t>
            </w:r>
            <w:r w:rsidRPr="00A653A9">
              <w:t>umping</w:t>
            </w:r>
            <w:r w:rsidR="00973ED8" w:rsidRPr="00A653A9">
              <w:t>.</w:t>
            </w:r>
          </w:p>
        </w:tc>
        <w:tc>
          <w:tcPr>
            <w:tcW w:w="0" w:type="auto"/>
          </w:tcPr>
          <w:p w14:paraId="075828E4" w14:textId="77777777" w:rsidR="000F5456" w:rsidRPr="00B57A6C" w:rsidRDefault="000F5456" w:rsidP="00973ED8">
            <w:pPr>
              <w:pStyle w:val="NoSpacing"/>
              <w:keepNext/>
              <w:keepLines/>
              <w:jc w:val="center"/>
              <w:rPr>
                <w:b/>
                <w:bCs/>
                <w:color w:val="002060"/>
                <w:szCs w:val="20"/>
              </w:rPr>
            </w:pPr>
            <w:r w:rsidRPr="00B57A6C">
              <w:rPr>
                <w:b/>
                <w:bCs/>
                <w:noProof/>
                <w:color w:val="002060"/>
                <w:szCs w:val="20"/>
              </w:rPr>
              <w:drawing>
                <wp:inline distT="0" distB="0" distL="0" distR="0" wp14:anchorId="0700978E" wp14:editId="6BBF583D">
                  <wp:extent cx="3164400" cy="907200"/>
                  <wp:effectExtent l="0" t="0" r="0" b="7620"/>
                  <wp:docPr id="38" name="Picture 38" descr="96% of waste generated in 2022-2023 is from the top five waste streams, which are excess earthworks, asphalt, concrete, other pavement material and general re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96% of waste generated in 2022-2023 is from the top five waste streams, which are excess earthworks, asphalt, concrete, other pavement material and general refuse."/>
                          <pic:cNvPicPr/>
                        </pic:nvPicPr>
                        <pic:blipFill>
                          <a:blip r:embed="rId21">
                            <a:extLst>
                              <a:ext uri="{28A0092B-C50C-407E-A947-70E740481C1C}">
                                <a14:useLocalDpi xmlns:a14="http://schemas.microsoft.com/office/drawing/2010/main" val="0"/>
                              </a:ext>
                            </a:extLst>
                          </a:blip>
                          <a:stretch>
                            <a:fillRect/>
                          </a:stretch>
                        </pic:blipFill>
                        <pic:spPr>
                          <a:xfrm>
                            <a:off x="0" y="0"/>
                            <a:ext cx="3164400" cy="907200"/>
                          </a:xfrm>
                          <a:prstGeom prst="rect">
                            <a:avLst/>
                          </a:prstGeom>
                        </pic:spPr>
                      </pic:pic>
                    </a:graphicData>
                  </a:graphic>
                </wp:inline>
              </w:drawing>
            </w:r>
          </w:p>
          <w:p w14:paraId="32C99545" w14:textId="77777777" w:rsidR="000F5456" w:rsidRPr="00B57A6C" w:rsidRDefault="000F5456" w:rsidP="00973ED8">
            <w:pPr>
              <w:pStyle w:val="NoSpacing"/>
              <w:keepNext/>
              <w:keepLines/>
              <w:rPr>
                <w:b/>
                <w:bCs/>
                <w:color w:val="002060"/>
                <w:szCs w:val="20"/>
              </w:rPr>
            </w:pPr>
            <w:r w:rsidRPr="00B57A6C">
              <w:rPr>
                <w:b/>
                <w:bCs/>
                <w:noProof/>
                <w:color w:val="002060"/>
                <w:szCs w:val="20"/>
              </w:rPr>
              <w:drawing>
                <wp:inline distT="0" distB="0" distL="0" distR="0" wp14:anchorId="4E35D2A2" wp14:editId="320DB1F1">
                  <wp:extent cx="3106800" cy="2098800"/>
                  <wp:effectExtent l="0" t="0" r="0" b="0"/>
                  <wp:docPr id="43" name="Picture 43" descr="The top five waste streams in order are excess earthworks, asphalt, septic, vegetation and acid sulphate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top five waste streams in order are excess earthworks, asphalt, septic, vegetation and acid sulphate soils."/>
                          <pic:cNvPicPr/>
                        </pic:nvPicPr>
                        <pic:blipFill>
                          <a:blip r:embed="rId22">
                            <a:extLst>
                              <a:ext uri="{28A0092B-C50C-407E-A947-70E740481C1C}">
                                <a14:useLocalDpi xmlns:a14="http://schemas.microsoft.com/office/drawing/2010/main" val="0"/>
                              </a:ext>
                            </a:extLst>
                          </a:blip>
                          <a:stretch>
                            <a:fillRect/>
                          </a:stretch>
                        </pic:blipFill>
                        <pic:spPr>
                          <a:xfrm>
                            <a:off x="0" y="0"/>
                            <a:ext cx="3106800" cy="2098800"/>
                          </a:xfrm>
                          <a:prstGeom prst="rect">
                            <a:avLst/>
                          </a:prstGeom>
                          <a:ln>
                            <a:noFill/>
                          </a:ln>
                        </pic:spPr>
                      </pic:pic>
                    </a:graphicData>
                  </a:graphic>
                </wp:inline>
              </w:drawing>
            </w:r>
          </w:p>
          <w:p w14:paraId="11A37008" w14:textId="10798907" w:rsidR="000F5456" w:rsidRPr="00A653A9" w:rsidRDefault="000F5456" w:rsidP="00A653A9">
            <w:pPr>
              <w:pStyle w:val="Caption"/>
            </w:pPr>
            <w:r w:rsidRPr="00A653A9">
              <w:t>Figure</w:t>
            </w:r>
            <w:r w:rsidR="0095019A" w:rsidRPr="00A653A9">
              <w:t xml:space="preserve"> </w:t>
            </w:r>
            <w:r w:rsidR="00973ED8" w:rsidRPr="00A653A9">
              <w:t>6</w:t>
            </w:r>
            <w:r w:rsidRPr="00A653A9">
              <w:t xml:space="preserve">: Top 5 </w:t>
            </w:r>
            <w:r w:rsidR="004B2DA2" w:rsidRPr="00A653A9">
              <w:t>w</w:t>
            </w:r>
            <w:r w:rsidRPr="00A653A9">
              <w:t>aste streams generated</w:t>
            </w:r>
            <w:r w:rsidR="00973ED8" w:rsidRPr="00A653A9">
              <w:t>.</w:t>
            </w:r>
          </w:p>
        </w:tc>
      </w:tr>
    </w:tbl>
    <w:p w14:paraId="5FB13BBA" w14:textId="2C0577E2" w:rsidR="000F5456" w:rsidRPr="00973ED8" w:rsidRDefault="000F5456" w:rsidP="000F5456">
      <w:pPr>
        <w:rPr>
          <w:sz w:val="24"/>
          <w:szCs w:val="24"/>
        </w:rPr>
      </w:pPr>
      <w:bookmarkStart w:id="12" w:name="_Toc145588820"/>
      <w:r w:rsidRPr="00973ED8">
        <w:rPr>
          <w:sz w:val="24"/>
          <w:szCs w:val="24"/>
        </w:rPr>
        <w:t xml:space="preserve">The overall decrease in the waste diversion rate in 2022–2033 (compared to 2021–2022) is mostly due to a reduction in the diversion rate of </w:t>
      </w:r>
      <w:r w:rsidR="00333FB2" w:rsidRPr="00973ED8">
        <w:rPr>
          <w:sz w:val="24"/>
          <w:szCs w:val="24"/>
        </w:rPr>
        <w:t>e</w:t>
      </w:r>
      <w:r w:rsidRPr="00973ED8">
        <w:rPr>
          <w:sz w:val="24"/>
          <w:szCs w:val="24"/>
        </w:rPr>
        <w:t xml:space="preserve">xcess </w:t>
      </w:r>
      <w:r w:rsidR="00333FB2" w:rsidRPr="00973ED8">
        <w:rPr>
          <w:sz w:val="24"/>
          <w:szCs w:val="24"/>
        </w:rPr>
        <w:t>e</w:t>
      </w:r>
      <w:r w:rsidRPr="00973ED8">
        <w:rPr>
          <w:sz w:val="24"/>
          <w:szCs w:val="24"/>
        </w:rPr>
        <w:t xml:space="preserve">arthworks. Excess </w:t>
      </w:r>
      <w:r w:rsidR="00333FB2" w:rsidRPr="00973ED8">
        <w:rPr>
          <w:sz w:val="24"/>
          <w:szCs w:val="24"/>
        </w:rPr>
        <w:t>e</w:t>
      </w:r>
      <w:r w:rsidRPr="00973ED8">
        <w:rPr>
          <w:sz w:val="24"/>
          <w:szCs w:val="24"/>
        </w:rPr>
        <w:t xml:space="preserve">arthworks, including embankment and fill, is the dirt that is removed from site and not required for the construction of the road. In 2021–2022, the diversion rate for </w:t>
      </w:r>
      <w:r w:rsidR="00333FB2" w:rsidRPr="00973ED8">
        <w:rPr>
          <w:sz w:val="24"/>
          <w:szCs w:val="24"/>
        </w:rPr>
        <w:t>e</w:t>
      </w:r>
      <w:r w:rsidRPr="00973ED8">
        <w:rPr>
          <w:sz w:val="24"/>
          <w:szCs w:val="24"/>
        </w:rPr>
        <w:t xml:space="preserve">xcess </w:t>
      </w:r>
      <w:r w:rsidR="00333FB2" w:rsidRPr="00973ED8">
        <w:rPr>
          <w:sz w:val="24"/>
          <w:szCs w:val="24"/>
        </w:rPr>
        <w:t>e</w:t>
      </w:r>
      <w:r w:rsidRPr="00973ED8">
        <w:rPr>
          <w:sz w:val="24"/>
          <w:szCs w:val="24"/>
        </w:rPr>
        <w:t xml:space="preserve">arthworks was 94 per cent but this dropped to 81 per cent in 2022–2023. There was an increase in the contracts reporting in 2022–2023 so the </w:t>
      </w:r>
      <w:r w:rsidR="00B91062" w:rsidRPr="00973ED8">
        <w:rPr>
          <w:sz w:val="24"/>
          <w:szCs w:val="24"/>
        </w:rPr>
        <w:t>e</w:t>
      </w:r>
      <w:r w:rsidRPr="00973ED8">
        <w:rPr>
          <w:sz w:val="24"/>
          <w:szCs w:val="24"/>
        </w:rPr>
        <w:t xml:space="preserve">xcess </w:t>
      </w:r>
      <w:r w:rsidR="00B91062" w:rsidRPr="00973ED8">
        <w:rPr>
          <w:sz w:val="24"/>
          <w:szCs w:val="24"/>
        </w:rPr>
        <w:t>e</w:t>
      </w:r>
      <w:r w:rsidRPr="00973ED8">
        <w:rPr>
          <w:sz w:val="24"/>
          <w:szCs w:val="24"/>
        </w:rPr>
        <w:t>arthworks diversion rate is more representative of the current diversion rate for this waste stream.</w:t>
      </w:r>
    </w:p>
    <w:p w14:paraId="62B02168" w14:textId="22532D1D" w:rsidR="000F5456" w:rsidRDefault="000F5456" w:rsidP="00973ED8">
      <w:pPr>
        <w:pStyle w:val="NoSpacing"/>
        <w:jc w:val="center"/>
      </w:pPr>
      <w:r>
        <w:rPr>
          <w:noProof/>
        </w:rPr>
        <w:drawing>
          <wp:inline distT="0" distB="0" distL="0" distR="0" wp14:anchorId="1792E8AC" wp14:editId="5C37FE37">
            <wp:extent cx="5868000" cy="1476000"/>
            <wp:effectExtent l="19050" t="19050" r="19050" b="10160"/>
            <wp:docPr id="11" name="Picture 11" descr="In 2022-2023, 190112 tonnes of excess earthworks was sent to landfill,  321040 tonnes was recycled and 503175 tonnes was re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 2022-2023, 190112 tonnes of excess earthworks was sent to landfill,  321040 tonnes was recycled and 503175 tonnes was reus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8000" cy="1476000"/>
                    </a:xfrm>
                    <a:prstGeom prst="rect">
                      <a:avLst/>
                    </a:prstGeom>
                    <a:ln>
                      <a:solidFill>
                        <a:schemeClr val="bg1">
                          <a:lumMod val="85000"/>
                        </a:schemeClr>
                      </a:solidFill>
                    </a:ln>
                  </pic:spPr>
                </pic:pic>
              </a:graphicData>
            </a:graphic>
          </wp:inline>
        </w:drawing>
      </w:r>
    </w:p>
    <w:p w14:paraId="6BF6854D" w14:textId="4EA7AC1E" w:rsidR="00235CFB" w:rsidRDefault="003F0203" w:rsidP="003F0203">
      <w:pPr>
        <w:pStyle w:val="Caption"/>
      </w:pPr>
      <w:r>
        <w:t xml:space="preserve">   </w:t>
      </w:r>
      <w:r w:rsidR="00235CFB" w:rsidRPr="00A653A9">
        <w:t>Figure 7: Destination of excess earthworks/embarkment/fill.</w:t>
      </w:r>
    </w:p>
    <w:p w14:paraId="038E5927" w14:textId="77777777" w:rsidR="00915F1A" w:rsidRDefault="00B57A6C" w:rsidP="00915F1A">
      <w:pPr>
        <w:pStyle w:val="Caption"/>
        <w:jc w:val="center"/>
      </w:pPr>
      <w:r w:rsidRPr="00A653A9">
        <w:rPr>
          <w:noProof/>
        </w:rPr>
        <w:drawing>
          <wp:inline distT="0" distB="0" distL="0" distR="0" wp14:anchorId="0072EEE8" wp14:editId="488A1FBC">
            <wp:extent cx="4812665" cy="2278380"/>
            <wp:effectExtent l="0" t="0" r="6985" b="7620"/>
            <wp:docPr id="39" name="Picture 39" descr="There was a decrease in the diversion rate for excess earthworks i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re was a decrease in the diversion rate for excess earthworks in 2022-2023."/>
                    <pic:cNvPicPr/>
                  </pic:nvPicPr>
                  <pic:blipFill>
                    <a:blip r:embed="rId24">
                      <a:extLst>
                        <a:ext uri="{28A0092B-C50C-407E-A947-70E740481C1C}">
                          <a14:useLocalDpi xmlns:a14="http://schemas.microsoft.com/office/drawing/2010/main" val="0"/>
                        </a:ext>
                      </a:extLst>
                    </a:blip>
                    <a:stretch>
                      <a:fillRect/>
                    </a:stretch>
                  </pic:blipFill>
                  <pic:spPr>
                    <a:xfrm>
                      <a:off x="0" y="0"/>
                      <a:ext cx="4812665" cy="2278380"/>
                    </a:xfrm>
                    <a:prstGeom prst="rect">
                      <a:avLst/>
                    </a:prstGeom>
                    <a:ln>
                      <a:noFill/>
                    </a:ln>
                  </pic:spPr>
                </pic:pic>
              </a:graphicData>
            </a:graphic>
          </wp:inline>
        </w:drawing>
      </w:r>
    </w:p>
    <w:p w14:paraId="211CF12E" w14:textId="311B55C3" w:rsidR="00235CFB" w:rsidRDefault="003F0203" w:rsidP="00235CFB">
      <w:pPr>
        <w:pStyle w:val="Caption"/>
        <w:jc w:val="center"/>
      </w:pPr>
      <w:r>
        <w:t xml:space="preserve">        </w:t>
      </w:r>
      <w:r w:rsidR="00235CFB" w:rsidRPr="00A653A9">
        <w:t>Figure 8: Trend in diversion rate for excess earthworks/embarkment/fill.</w:t>
      </w:r>
      <w:r w:rsidR="00235CFB">
        <w:br w:type="page"/>
      </w:r>
    </w:p>
    <w:tbl>
      <w:tblPr>
        <w:tblStyle w:val="TableGrid"/>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5726"/>
        <w:gridCol w:w="4110"/>
      </w:tblGrid>
      <w:tr w:rsidR="00BE627A" w14:paraId="055EC4E4" w14:textId="77777777" w:rsidTr="00950E8E">
        <w:tc>
          <w:tcPr>
            <w:tcW w:w="5726" w:type="dxa"/>
            <w:shd w:val="clear" w:color="auto" w:fill="003C69"/>
            <w:vAlign w:val="center"/>
          </w:tcPr>
          <w:p w14:paraId="00B50F63" w14:textId="77777777" w:rsidR="00B45325" w:rsidRPr="0081427E" w:rsidRDefault="00B45325" w:rsidP="0081427E">
            <w:pPr>
              <w:pStyle w:val="Heading2"/>
              <w:rPr>
                <w:color w:val="FFFFFF" w:themeColor="background1"/>
              </w:rPr>
            </w:pPr>
            <w:bookmarkStart w:id="13" w:name="_Toc145592668"/>
            <w:bookmarkStart w:id="14" w:name="_Toc147824132"/>
            <w:r w:rsidRPr="0081427E">
              <w:rPr>
                <w:color w:val="FFFFFF" w:themeColor="background1"/>
              </w:rPr>
              <w:lastRenderedPageBreak/>
              <w:t>Case study 1: eMesh used on the Edmonton to Gordonvale project</w:t>
            </w:r>
            <w:bookmarkEnd w:id="13"/>
            <w:bookmarkEnd w:id="14"/>
          </w:p>
          <w:p w14:paraId="3D1BF04D" w14:textId="77777777" w:rsidR="00B45325" w:rsidRPr="00923157" w:rsidRDefault="00B45325" w:rsidP="0081427E">
            <w:pPr>
              <w:spacing w:after="120"/>
              <w:rPr>
                <w:sz w:val="24"/>
                <w:szCs w:val="24"/>
              </w:rPr>
            </w:pPr>
            <w:r w:rsidRPr="00923157">
              <w:rPr>
                <w:sz w:val="24"/>
                <w:szCs w:val="24"/>
              </w:rPr>
              <w:t>TMR pioneered an Australian-first method to reduce raw material consumption that was developed with the project's concrete supplier for the Edmonton to Gordonvale project.</w:t>
            </w:r>
          </w:p>
          <w:p w14:paraId="73DEA1AC" w14:textId="3DE10B4D" w:rsidR="00B45325" w:rsidRPr="00923157" w:rsidRDefault="00B45325" w:rsidP="0081427E">
            <w:pPr>
              <w:spacing w:after="120"/>
              <w:rPr>
                <w:sz w:val="24"/>
                <w:szCs w:val="24"/>
              </w:rPr>
            </w:pPr>
            <w:r w:rsidRPr="00923157">
              <w:rPr>
                <w:sz w:val="24"/>
                <w:szCs w:val="24"/>
              </w:rPr>
              <w:t>The project involved the construction of more than 10 kilometres of concrete pavements for cycleways, footpaths, and shared paths using a concrete extruding slipform paver with a custom mould, and a 100 per cent recycled plastic fibre reinforcement product called eMesh.</w:t>
            </w:r>
          </w:p>
          <w:p w14:paraId="3EED37C6" w14:textId="77777777" w:rsidR="00B45325" w:rsidRPr="00923157" w:rsidRDefault="00B45325" w:rsidP="0081427E">
            <w:pPr>
              <w:spacing w:after="120"/>
              <w:rPr>
                <w:sz w:val="24"/>
                <w:szCs w:val="24"/>
              </w:rPr>
            </w:pPr>
            <w:r w:rsidRPr="00923157">
              <w:rPr>
                <w:sz w:val="24"/>
                <w:szCs w:val="24"/>
              </w:rPr>
              <w:t>The slipform paver was used to mechanically place the concrete during pavement construction, reducing project construction times and lowering greenhouse gas footprints. This innovation resulted in a reduction of raw material consumption, significantly increased productivity, enhanced personnel safety, and supported waste repurposing.</w:t>
            </w:r>
          </w:p>
          <w:p w14:paraId="1C104E35" w14:textId="19808D1A" w:rsidR="00B45325" w:rsidRDefault="00B45325" w:rsidP="0081427E">
            <w:pPr>
              <w:spacing w:after="120"/>
              <w:rPr>
                <w:sz w:val="24"/>
                <w:szCs w:val="24"/>
              </w:rPr>
            </w:pPr>
            <w:r w:rsidRPr="00923157">
              <w:rPr>
                <w:sz w:val="24"/>
                <w:szCs w:val="24"/>
              </w:rPr>
              <w:t>The eMesh product aligns with circular economy principles, repurposing waste into new products, diverting waste from landfills, and strengthening the market for sustainable materials.</w:t>
            </w:r>
          </w:p>
          <w:p w14:paraId="73B1D152" w14:textId="0E8B7AE0" w:rsidR="00923157" w:rsidRPr="00923157" w:rsidRDefault="00923157" w:rsidP="0081427E">
            <w:pPr>
              <w:spacing w:after="120"/>
              <w:rPr>
                <w:sz w:val="24"/>
                <w:szCs w:val="24"/>
              </w:rPr>
            </w:pPr>
            <w:r>
              <w:rPr>
                <w:sz w:val="24"/>
                <w:szCs w:val="24"/>
              </w:rPr>
              <w:t xml:space="preserve">For more information visit:  </w:t>
            </w:r>
            <w:hyperlink r:id="rId25" w:history="1">
              <w:r w:rsidRPr="00A653A9">
                <w:rPr>
                  <w:rStyle w:val="Hyperlink"/>
                  <w:color w:val="FFFFFF" w:themeColor="background1"/>
                  <w:sz w:val="24"/>
                  <w:szCs w:val="24"/>
                </w:rPr>
                <w:t>www.tmr.qld.gov.au/projects/bruce-highway-cairns-southern-access-corridor-stage-3-edmonton-to-gordonvale</w:t>
              </w:r>
            </w:hyperlink>
          </w:p>
          <w:p w14:paraId="28FD179C" w14:textId="4A1EDD67" w:rsidR="0081427E" w:rsidRPr="0081427E" w:rsidRDefault="0081427E" w:rsidP="0081427E">
            <w:pPr>
              <w:rPr>
                <w:i/>
                <w:iCs/>
              </w:rPr>
            </w:pPr>
            <w:r w:rsidRPr="00923157">
              <w:rPr>
                <w:i/>
                <w:iCs/>
                <w:sz w:val="24"/>
                <w:szCs w:val="24"/>
              </w:rPr>
              <w:t xml:space="preserve">Image: Aerial view of the E2G project site where eMesh was used. © </w:t>
            </w:r>
            <w:r w:rsidR="0074557B">
              <w:rPr>
                <w:i/>
                <w:iCs/>
                <w:sz w:val="24"/>
                <w:szCs w:val="24"/>
              </w:rPr>
              <w:t xml:space="preserve">The </w:t>
            </w:r>
            <w:r w:rsidRPr="00923157">
              <w:rPr>
                <w:i/>
                <w:iCs/>
                <w:sz w:val="24"/>
                <w:szCs w:val="24"/>
              </w:rPr>
              <w:t>State of Queensland.</w:t>
            </w:r>
          </w:p>
        </w:tc>
        <w:tc>
          <w:tcPr>
            <w:tcW w:w="4110" w:type="dxa"/>
            <w:shd w:val="clear" w:color="auto" w:fill="auto"/>
            <w:tcMar>
              <w:left w:w="0" w:type="dxa"/>
              <w:right w:w="0" w:type="dxa"/>
            </w:tcMar>
            <w:vAlign w:val="center"/>
          </w:tcPr>
          <w:p w14:paraId="107F7957" w14:textId="675CFF44" w:rsidR="00B45325" w:rsidRDefault="00B45325" w:rsidP="0081427E">
            <w:pPr>
              <w:pStyle w:val="NoSpacing"/>
            </w:pPr>
            <w:r>
              <w:rPr>
                <w:noProof/>
              </w:rPr>
              <w:drawing>
                <wp:inline distT="0" distB="0" distL="0" distR="0" wp14:anchorId="75B9B375" wp14:editId="03F44197">
                  <wp:extent cx="2600325" cy="5933524"/>
                  <wp:effectExtent l="0" t="0" r="0" b="0"/>
                  <wp:docPr id="62" name="Picture 62" descr="A road with cars and tru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ad with cars and truck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06305" cy="5947169"/>
                          </a:xfrm>
                          <a:prstGeom prst="round1Rect">
                            <a:avLst/>
                          </a:prstGeom>
                          <a:ln>
                            <a:noFill/>
                          </a:ln>
                          <a:extLst>
                            <a:ext uri="{53640926-AAD7-44D8-BBD7-CCE9431645EC}">
                              <a14:shadowObscured xmlns:a14="http://schemas.microsoft.com/office/drawing/2010/main"/>
                            </a:ext>
                          </a:extLst>
                        </pic:spPr>
                      </pic:pic>
                    </a:graphicData>
                  </a:graphic>
                </wp:inline>
              </w:drawing>
            </w:r>
          </w:p>
        </w:tc>
      </w:tr>
    </w:tbl>
    <w:p w14:paraId="4B8FB0C0" w14:textId="0B25FE9C" w:rsidR="00101048" w:rsidRDefault="00101048" w:rsidP="00101048">
      <w:bookmarkStart w:id="15" w:name="_Toc145588821"/>
      <w:bookmarkEnd w:id="12"/>
      <w:r>
        <w:br w:type="page"/>
      </w:r>
    </w:p>
    <w:p w14:paraId="169FB762" w14:textId="60E63D2B" w:rsidR="008D39B0" w:rsidRDefault="008D39B0" w:rsidP="00B27171">
      <w:pPr>
        <w:pStyle w:val="Heading1"/>
      </w:pPr>
      <w:bookmarkStart w:id="16" w:name="_Toc145592669"/>
      <w:bookmarkStart w:id="17" w:name="_Toc147824133"/>
      <w:r>
        <w:lastRenderedPageBreak/>
        <w:t>Waste reuse and recycling</w:t>
      </w:r>
      <w:bookmarkEnd w:id="15"/>
      <w:bookmarkEnd w:id="16"/>
      <w:bookmarkEnd w:id="17"/>
    </w:p>
    <w:p w14:paraId="14963F5B" w14:textId="080C8C27" w:rsidR="00101048" w:rsidRPr="00923157" w:rsidRDefault="00101048" w:rsidP="00101048">
      <w:pPr>
        <w:rPr>
          <w:sz w:val="24"/>
          <w:szCs w:val="24"/>
        </w:rPr>
      </w:pPr>
      <w:r w:rsidRPr="00923157">
        <w:rPr>
          <w:sz w:val="24"/>
          <w:szCs w:val="24"/>
        </w:rPr>
        <w:t xml:space="preserve">An objective of TMR's </w:t>
      </w:r>
      <w:r w:rsidRPr="00923157">
        <w:rPr>
          <w:i/>
          <w:iCs/>
          <w:sz w:val="24"/>
          <w:szCs w:val="24"/>
        </w:rPr>
        <w:t>Waste 2 Resource Strategy</w:t>
      </w:r>
      <w:r w:rsidRPr="00923157">
        <w:rPr>
          <w:sz w:val="24"/>
          <w:szCs w:val="24"/>
        </w:rPr>
        <w:t xml:space="preserve"> is to support the circular economy, and this can be achieved by directing suitable wastes for reuse and recycling. A waste is reused when no additional processing (other than transporting) is required for it to be productively used again. An example of this is directing </w:t>
      </w:r>
      <w:r w:rsidR="00923157">
        <w:rPr>
          <w:sz w:val="24"/>
          <w:szCs w:val="24"/>
        </w:rPr>
        <w:t>e</w:t>
      </w:r>
      <w:r w:rsidRPr="00923157">
        <w:rPr>
          <w:sz w:val="24"/>
          <w:szCs w:val="24"/>
        </w:rPr>
        <w:t xml:space="preserve">xcess </w:t>
      </w:r>
      <w:r w:rsidR="00923157">
        <w:rPr>
          <w:sz w:val="24"/>
          <w:szCs w:val="24"/>
        </w:rPr>
        <w:t>e</w:t>
      </w:r>
      <w:r w:rsidRPr="00923157">
        <w:rPr>
          <w:sz w:val="24"/>
          <w:szCs w:val="24"/>
        </w:rPr>
        <w:t>arthworks from one project to another that needs fill material. A waste is recycled when some processing is required to make it into a usable product, for example crushing concrete to supplement road base materials.</w:t>
      </w:r>
    </w:p>
    <w:p w14:paraId="765094FA" w14:textId="049080EC" w:rsidR="00101048" w:rsidRPr="00923157" w:rsidRDefault="00101048" w:rsidP="00101048">
      <w:pPr>
        <w:rPr>
          <w:sz w:val="24"/>
          <w:szCs w:val="24"/>
        </w:rPr>
      </w:pPr>
      <w:r w:rsidRPr="00923157">
        <w:rPr>
          <w:sz w:val="24"/>
          <w:szCs w:val="24"/>
        </w:rPr>
        <w:t>The following are highlights of the waste that was generated by TMR in 2022–2023 and either reused or recycled. Reuse and recycling are more common along the coastal regions of Queensland due to the current distribution of licenced recycling facilities.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531"/>
      </w:tblGrid>
      <w:tr w:rsidR="00101048" w14:paraId="6BF18B7B" w14:textId="77777777" w:rsidTr="00101048">
        <w:tc>
          <w:tcPr>
            <w:tcW w:w="4531" w:type="dxa"/>
            <w:tcMar>
              <w:left w:w="0" w:type="dxa"/>
              <w:right w:w="0" w:type="dxa"/>
            </w:tcMar>
          </w:tcPr>
          <w:p w14:paraId="410078B3" w14:textId="297796A7" w:rsidR="00101048" w:rsidRDefault="00530DA0" w:rsidP="00361356">
            <w:pPr>
              <w:pStyle w:val="NoSpacing"/>
              <w:jc w:val="center"/>
            </w:pPr>
            <w:r w:rsidRPr="00101048">
              <w:rPr>
                <w:noProof/>
              </w:rPr>
              <w:drawing>
                <wp:inline distT="0" distB="0" distL="0" distR="0" wp14:anchorId="45B74A2E" wp14:editId="256308C3">
                  <wp:extent cx="3038400" cy="939600"/>
                  <wp:effectExtent l="0" t="0" r="0" b="0"/>
                  <wp:docPr id="14" name="Picture 14" descr="99% of waste sent for reuse or recycling in 2022-2023 was excess earthworks, asphalt, vegetation, acid sulphate soil or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99% of waste sent for reuse or recycling in 2022-2023 was excess earthworks, asphalt, vegetation, acid sulphate soil or concrete."/>
                          <pic:cNvPicPr/>
                        </pic:nvPicPr>
                        <pic:blipFill>
                          <a:blip r:embed="rId27">
                            <a:extLst>
                              <a:ext uri="{28A0092B-C50C-407E-A947-70E740481C1C}">
                                <a14:useLocalDpi xmlns:a14="http://schemas.microsoft.com/office/drawing/2010/main" val="0"/>
                              </a:ext>
                            </a:extLst>
                          </a:blip>
                          <a:stretch>
                            <a:fillRect/>
                          </a:stretch>
                        </pic:blipFill>
                        <pic:spPr>
                          <a:xfrm>
                            <a:off x="0" y="0"/>
                            <a:ext cx="3038400" cy="939600"/>
                          </a:xfrm>
                          <a:prstGeom prst="rect">
                            <a:avLst/>
                          </a:prstGeom>
                        </pic:spPr>
                      </pic:pic>
                    </a:graphicData>
                  </a:graphic>
                </wp:inline>
              </w:drawing>
            </w:r>
            <w:r w:rsidR="006F5EE3">
              <w:rPr>
                <w:b/>
                <w:bCs/>
                <w:noProof/>
                <w:szCs w:val="20"/>
              </w:rPr>
              <w:drawing>
                <wp:inline distT="0" distB="0" distL="0" distR="0" wp14:anchorId="4C8F4EE9" wp14:editId="4351430E">
                  <wp:extent cx="2854800" cy="1846800"/>
                  <wp:effectExtent l="0" t="0" r="3175" b="1270"/>
                  <wp:docPr id="5" name="Picture 5" descr="The top five reused or recycled wastes, in order are, excess earthworks, asphalt, vegetation, acid sulphate soil and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op five reused or recycled wastes, in order are, excess earthworks, asphalt, vegetation, acid sulphate soil and concrete."/>
                          <pic:cNvPicPr/>
                        </pic:nvPicPr>
                        <pic:blipFill>
                          <a:blip r:embed="rId28">
                            <a:extLst>
                              <a:ext uri="{28A0092B-C50C-407E-A947-70E740481C1C}">
                                <a14:useLocalDpi xmlns:a14="http://schemas.microsoft.com/office/drawing/2010/main" val="0"/>
                              </a:ext>
                            </a:extLst>
                          </a:blip>
                          <a:stretch>
                            <a:fillRect/>
                          </a:stretch>
                        </pic:blipFill>
                        <pic:spPr>
                          <a:xfrm>
                            <a:off x="0" y="0"/>
                            <a:ext cx="2854800" cy="1846800"/>
                          </a:xfrm>
                          <a:prstGeom prst="rect">
                            <a:avLst/>
                          </a:prstGeom>
                          <a:ln>
                            <a:noFill/>
                          </a:ln>
                        </pic:spPr>
                      </pic:pic>
                    </a:graphicData>
                  </a:graphic>
                </wp:inline>
              </w:drawing>
            </w:r>
          </w:p>
          <w:p w14:paraId="7D255F3B" w14:textId="7BB2CBB9" w:rsidR="00101048" w:rsidRPr="00A653A9" w:rsidRDefault="00583AFD" w:rsidP="00A653A9">
            <w:pPr>
              <w:pStyle w:val="Caption"/>
            </w:pPr>
            <w:r w:rsidRPr="00A653A9">
              <w:t xml:space="preserve"> </w:t>
            </w:r>
            <w:r w:rsidR="00101048" w:rsidRPr="00A653A9">
              <w:t>Figure</w:t>
            </w:r>
            <w:r w:rsidRPr="00A653A9">
              <w:t xml:space="preserve"> </w:t>
            </w:r>
            <w:r w:rsidR="00923157" w:rsidRPr="00A653A9">
              <w:t>9</w:t>
            </w:r>
            <w:r w:rsidR="00101048" w:rsidRPr="00A653A9">
              <w:t xml:space="preserve">: Top 5 reused or recycled </w:t>
            </w:r>
            <w:r w:rsidR="00FC27D9">
              <w:t xml:space="preserve"> </w:t>
            </w:r>
            <w:r w:rsidR="00101048" w:rsidRPr="00A653A9">
              <w:t>wastes</w:t>
            </w:r>
            <w:r w:rsidR="00923157" w:rsidRPr="00A653A9">
              <w:t>.</w:t>
            </w:r>
          </w:p>
        </w:tc>
        <w:tc>
          <w:tcPr>
            <w:tcW w:w="4531" w:type="dxa"/>
            <w:vMerge w:val="restart"/>
            <w:tcMar>
              <w:left w:w="0" w:type="dxa"/>
              <w:right w:w="0" w:type="dxa"/>
            </w:tcMar>
          </w:tcPr>
          <w:p w14:paraId="3128E010" w14:textId="77777777" w:rsidR="00101048" w:rsidRDefault="00101048" w:rsidP="00361356">
            <w:pPr>
              <w:pStyle w:val="NoSpacing"/>
              <w:keepNext/>
              <w:jc w:val="center"/>
            </w:pPr>
            <w:r>
              <w:rPr>
                <w:noProof/>
              </w:rPr>
              <w:drawing>
                <wp:inline distT="0" distB="0" distL="0" distR="0" wp14:anchorId="5EEFDC1F" wp14:editId="1B7C95E8">
                  <wp:extent cx="2862000" cy="6008400"/>
                  <wp:effectExtent l="0" t="0" r="0" b="0"/>
                  <wp:docPr id="56" name="Picture 56" descr="Colour shading relates to the quantity of waste reuse or recycled. The darkest areas have the highest quantity. There is a map insert showing South-east Queensland and a square to represent data with no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lour shading relates to the quantity of waste reuse or recycled. The darkest areas have the highest quantity. There is a map insert showing South-east Queensland and a square to represent data with no location information."/>
                          <pic:cNvPicPr/>
                        </pic:nvPicPr>
                        <pic:blipFill>
                          <a:blip r:embed="rId29">
                            <a:extLst>
                              <a:ext uri="{28A0092B-C50C-407E-A947-70E740481C1C}">
                                <a14:useLocalDpi xmlns:a14="http://schemas.microsoft.com/office/drawing/2010/main" val="0"/>
                              </a:ext>
                            </a:extLst>
                          </a:blip>
                          <a:stretch>
                            <a:fillRect/>
                          </a:stretch>
                        </pic:blipFill>
                        <pic:spPr>
                          <a:xfrm>
                            <a:off x="0" y="0"/>
                            <a:ext cx="2862000" cy="6008400"/>
                          </a:xfrm>
                          <a:prstGeom prst="rect">
                            <a:avLst/>
                          </a:prstGeom>
                          <a:ln>
                            <a:noFill/>
                          </a:ln>
                        </pic:spPr>
                      </pic:pic>
                    </a:graphicData>
                  </a:graphic>
                </wp:inline>
              </w:drawing>
            </w:r>
          </w:p>
          <w:p w14:paraId="1DC36475" w14:textId="5FE3431B" w:rsidR="00101048" w:rsidRPr="00A653A9" w:rsidRDefault="00B57A6C" w:rsidP="00A653A9">
            <w:pPr>
              <w:pStyle w:val="Caption"/>
            </w:pPr>
            <w:r w:rsidRPr="00A653A9">
              <w:t xml:space="preserve"> </w:t>
            </w:r>
            <w:r w:rsidR="00101048" w:rsidRPr="00A653A9">
              <w:t>Figure</w:t>
            </w:r>
            <w:r w:rsidR="00583AFD" w:rsidRPr="00A653A9">
              <w:t xml:space="preserve"> </w:t>
            </w:r>
            <w:r w:rsidR="00923157" w:rsidRPr="00A653A9">
              <w:t>11:</w:t>
            </w:r>
            <w:r w:rsidR="00101048" w:rsidRPr="00A653A9">
              <w:t xml:space="preserve"> Top 5 </w:t>
            </w:r>
            <w:r w:rsidR="004B2DA2" w:rsidRPr="00A653A9">
              <w:t>r</w:t>
            </w:r>
            <w:r w:rsidR="00101048" w:rsidRPr="00A653A9">
              <w:t xml:space="preserve">eused or </w:t>
            </w:r>
            <w:r w:rsidR="004B2DA2" w:rsidRPr="00A653A9">
              <w:t>r</w:t>
            </w:r>
            <w:r w:rsidR="00101048" w:rsidRPr="00A653A9">
              <w:t xml:space="preserve">ecycled </w:t>
            </w:r>
            <w:r w:rsidR="004B2DA2" w:rsidRPr="00A653A9">
              <w:t>w</w:t>
            </w:r>
            <w:r w:rsidR="00101048" w:rsidRPr="00A653A9">
              <w:t>astes</w:t>
            </w:r>
            <w:r w:rsidR="00923157" w:rsidRPr="00A653A9">
              <w:t>.</w:t>
            </w:r>
          </w:p>
        </w:tc>
      </w:tr>
      <w:tr w:rsidR="00101048" w14:paraId="54651714" w14:textId="77777777" w:rsidTr="00101048">
        <w:tc>
          <w:tcPr>
            <w:tcW w:w="4531" w:type="dxa"/>
            <w:tcMar>
              <w:left w:w="0" w:type="dxa"/>
              <w:right w:w="0" w:type="dxa"/>
            </w:tcMar>
          </w:tcPr>
          <w:p w14:paraId="7A47D276" w14:textId="77777777" w:rsidR="00101048" w:rsidRDefault="00101048" w:rsidP="00101048">
            <w:pPr>
              <w:pStyle w:val="NoSpacing"/>
              <w:keepNext/>
              <w:jc w:val="center"/>
            </w:pPr>
            <w:r>
              <w:rPr>
                <w:noProof/>
              </w:rPr>
              <w:drawing>
                <wp:inline distT="0" distB="0" distL="0" distR="0" wp14:anchorId="7A1C760B" wp14:editId="1132403F">
                  <wp:extent cx="2872800" cy="2692800"/>
                  <wp:effectExtent l="0" t="0" r="3810" b="0"/>
                  <wp:docPr id="51" name="Picture 51" descr="The destination for waste varies across the state. Excess earthworks are recycled or reused across most areas. Metropolitan and North Coast regions had high levels of asphalt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destination for waste varies across the state. Excess earthworks are recycled or reused across most areas. Metropolitan and North Coast regions had high levels of asphalt recycling."/>
                          <pic:cNvPicPr/>
                        </pic:nvPicPr>
                        <pic:blipFill>
                          <a:blip r:embed="rId30">
                            <a:extLst>
                              <a:ext uri="{28A0092B-C50C-407E-A947-70E740481C1C}">
                                <a14:useLocalDpi xmlns:a14="http://schemas.microsoft.com/office/drawing/2010/main" val="0"/>
                              </a:ext>
                            </a:extLst>
                          </a:blip>
                          <a:stretch>
                            <a:fillRect/>
                          </a:stretch>
                        </pic:blipFill>
                        <pic:spPr>
                          <a:xfrm>
                            <a:off x="0" y="0"/>
                            <a:ext cx="2872800" cy="2692800"/>
                          </a:xfrm>
                          <a:prstGeom prst="rect">
                            <a:avLst/>
                          </a:prstGeom>
                          <a:ln>
                            <a:noFill/>
                          </a:ln>
                        </pic:spPr>
                      </pic:pic>
                    </a:graphicData>
                  </a:graphic>
                </wp:inline>
              </w:drawing>
            </w:r>
          </w:p>
          <w:p w14:paraId="2C80E99E" w14:textId="3A3E1026" w:rsidR="00101048" w:rsidRPr="00A653A9" w:rsidRDefault="00B57A6C" w:rsidP="00A653A9">
            <w:pPr>
              <w:pStyle w:val="Caption"/>
            </w:pPr>
            <w:r w:rsidRPr="00A653A9">
              <w:t xml:space="preserve">  </w:t>
            </w:r>
            <w:r w:rsidR="00101048" w:rsidRPr="00A653A9">
              <w:t xml:space="preserve">Figure </w:t>
            </w:r>
            <w:r w:rsidR="00B600FE" w:rsidRPr="00A653A9">
              <w:t>1</w:t>
            </w:r>
            <w:r w:rsidR="00583AFD" w:rsidRPr="00A653A9">
              <w:t>0</w:t>
            </w:r>
            <w:r w:rsidR="00101048" w:rsidRPr="00A653A9">
              <w:t xml:space="preserve">: Reused or </w:t>
            </w:r>
            <w:r w:rsidR="004B2DA2" w:rsidRPr="00A653A9">
              <w:t>r</w:t>
            </w:r>
            <w:r w:rsidR="00101048" w:rsidRPr="00A653A9">
              <w:t xml:space="preserve">ecycled </w:t>
            </w:r>
            <w:r w:rsidR="004B2DA2" w:rsidRPr="00A653A9">
              <w:t>w</w:t>
            </w:r>
            <w:r w:rsidR="00101048" w:rsidRPr="00A653A9">
              <w:t>astes</w:t>
            </w:r>
            <w:r w:rsidR="00923157" w:rsidRPr="00A653A9">
              <w:t>.</w:t>
            </w:r>
          </w:p>
        </w:tc>
        <w:tc>
          <w:tcPr>
            <w:tcW w:w="4531" w:type="dxa"/>
            <w:vMerge/>
            <w:tcMar>
              <w:left w:w="0" w:type="dxa"/>
              <w:right w:w="0" w:type="dxa"/>
            </w:tcMar>
          </w:tcPr>
          <w:p w14:paraId="688F16A8" w14:textId="77777777" w:rsidR="00101048" w:rsidRDefault="00101048" w:rsidP="00101048"/>
        </w:tc>
      </w:tr>
    </w:tbl>
    <w:p w14:paraId="668F2C23" w14:textId="67487B2A" w:rsidR="00101048" w:rsidRDefault="00101048" w:rsidP="00101048">
      <w:bookmarkStart w:id="18" w:name="_Toc145588822"/>
      <w:r>
        <w:br w:type="page"/>
      </w:r>
    </w:p>
    <w:p w14:paraId="5DECBEDB" w14:textId="29211A5C" w:rsidR="000E1E96" w:rsidRPr="00A653A9" w:rsidRDefault="000E1E96" w:rsidP="00A653A9">
      <w:pPr>
        <w:pStyle w:val="Caption"/>
      </w:pPr>
      <w:r w:rsidRPr="00A653A9">
        <w:lastRenderedPageBreak/>
        <w:t xml:space="preserve">Table 2: </w:t>
      </w:r>
      <w:r w:rsidR="00EA1BE2" w:rsidRPr="00A653A9">
        <w:t>Top 5 reused or recycled wastes for location</w:t>
      </w:r>
      <w:r w:rsidR="004A1001" w:rsidRPr="00A653A9">
        <w:t>.</w:t>
      </w:r>
    </w:p>
    <w:tbl>
      <w:tblPr>
        <w:tblStyle w:val="NavyTable"/>
        <w:tblW w:w="4715" w:type="pct"/>
        <w:tblInd w:w="0" w:type="dxa"/>
        <w:tblLook w:val="06A0" w:firstRow="1" w:lastRow="0" w:firstColumn="1" w:lastColumn="0" w:noHBand="1" w:noVBand="1"/>
      </w:tblPr>
      <w:tblGrid>
        <w:gridCol w:w="1457"/>
        <w:gridCol w:w="1840"/>
        <w:gridCol w:w="1074"/>
        <w:gridCol w:w="1456"/>
        <w:gridCol w:w="1917"/>
        <w:gridCol w:w="1452"/>
      </w:tblGrid>
      <w:tr w:rsidR="00B510C6" w:rsidRPr="00A653A9" w14:paraId="27364FE7" w14:textId="57D3DAC8" w:rsidTr="009453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37BB07A6" w14:textId="4E0F1470" w:rsidR="003A3CA1" w:rsidRPr="00915F1A" w:rsidRDefault="00100A20"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Location</w:t>
            </w:r>
          </w:p>
        </w:tc>
        <w:tc>
          <w:tcPr>
            <w:tcW w:w="1017" w:type="pct"/>
            <w:noWrap/>
            <w:vAlign w:val="center"/>
            <w:hideMark/>
          </w:tcPr>
          <w:p w14:paraId="2E928964" w14:textId="77777777" w:rsidR="00B422F5" w:rsidRPr="00915F1A" w:rsidRDefault="003A3CA1"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Acid Sulphate Soil</w:t>
            </w:r>
          </w:p>
          <w:p w14:paraId="1D214B71" w14:textId="6130F777" w:rsidR="003A3CA1" w:rsidRPr="00915F1A" w:rsidRDefault="00683635"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w:t>
            </w:r>
            <w:r w:rsidR="00B422F5" w:rsidRPr="00915F1A">
              <w:rPr>
                <w:rFonts w:asciiTheme="minorHAnsi" w:hAnsiTheme="minorHAnsi" w:cstheme="minorHAnsi"/>
                <w:color w:val="FFFFFF" w:themeColor="background1"/>
                <w:szCs w:val="20"/>
              </w:rPr>
              <w:t>tonnes)</w:t>
            </w:r>
          </w:p>
        </w:tc>
        <w:tc>
          <w:tcPr>
            <w:tcW w:w="651" w:type="pct"/>
            <w:noWrap/>
            <w:vAlign w:val="center"/>
            <w:hideMark/>
          </w:tcPr>
          <w:p w14:paraId="4EC0EB5A" w14:textId="77777777" w:rsidR="00B422F5" w:rsidRPr="00915F1A" w:rsidRDefault="003A3CA1"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Asphalt</w:t>
            </w:r>
            <w:r w:rsidR="00B422F5" w:rsidRPr="00915F1A">
              <w:rPr>
                <w:rFonts w:asciiTheme="minorHAnsi" w:hAnsiTheme="minorHAnsi" w:cstheme="minorHAnsi"/>
                <w:color w:val="FFFFFF" w:themeColor="background1"/>
                <w:szCs w:val="20"/>
              </w:rPr>
              <w:t xml:space="preserve"> </w:t>
            </w:r>
          </w:p>
          <w:p w14:paraId="2157E341" w14:textId="5A11C92A" w:rsidR="003A3CA1" w:rsidRPr="00915F1A" w:rsidRDefault="00B422F5"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3" w:type="pct"/>
            <w:noWrap/>
            <w:vAlign w:val="center"/>
            <w:hideMark/>
          </w:tcPr>
          <w:p w14:paraId="24D75BDD" w14:textId="77777777" w:rsidR="00B422F5" w:rsidRPr="00915F1A" w:rsidRDefault="003A3CA1"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Concrete</w:t>
            </w:r>
          </w:p>
          <w:p w14:paraId="43B5E6BE" w14:textId="74EBE494" w:rsidR="003A3CA1" w:rsidRPr="00915F1A" w:rsidRDefault="00B422F5"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4" w:type="pct"/>
            <w:noWrap/>
            <w:vAlign w:val="center"/>
            <w:hideMark/>
          </w:tcPr>
          <w:p w14:paraId="523263EF" w14:textId="77777777" w:rsidR="00B422F5" w:rsidRPr="00915F1A" w:rsidRDefault="003A3CA1"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Excess Earthworks</w:t>
            </w:r>
          </w:p>
          <w:p w14:paraId="3461CE5B" w14:textId="7230ADA6" w:rsidR="003A3CA1" w:rsidRPr="00915F1A" w:rsidRDefault="00B422F5"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2" w:type="pct"/>
            <w:vAlign w:val="center"/>
          </w:tcPr>
          <w:p w14:paraId="17F5015A" w14:textId="77777777" w:rsidR="00B422F5" w:rsidRPr="00915F1A" w:rsidRDefault="003A3CA1"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Vegetation</w:t>
            </w:r>
          </w:p>
          <w:p w14:paraId="757CFF8C" w14:textId="2D41902B" w:rsidR="003A3CA1" w:rsidRPr="00915F1A" w:rsidRDefault="00B422F5" w:rsidP="00A653A9">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r>
      <w:tr w:rsidR="00CA5F82" w:rsidRPr="00A653A9" w14:paraId="41BBFA87" w14:textId="1C21DCB3"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69A41866" w14:textId="22D5AB43"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CTWD</w:t>
            </w:r>
          </w:p>
        </w:tc>
        <w:tc>
          <w:tcPr>
            <w:tcW w:w="1017" w:type="pct"/>
            <w:noWrap/>
            <w:vAlign w:val="center"/>
            <w:hideMark/>
          </w:tcPr>
          <w:p w14:paraId="5748E5D5" w14:textId="0330FEF3"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22A601FC" w14:textId="09B1670E"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noWrap/>
            <w:vAlign w:val="center"/>
            <w:hideMark/>
          </w:tcPr>
          <w:p w14:paraId="55A6DFB6" w14:textId="75CB2F18"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4" w:type="pct"/>
            <w:noWrap/>
            <w:vAlign w:val="center"/>
            <w:hideMark/>
          </w:tcPr>
          <w:p w14:paraId="7DE127AC" w14:textId="609D4704"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100 </w:t>
            </w:r>
          </w:p>
        </w:tc>
        <w:tc>
          <w:tcPr>
            <w:tcW w:w="832" w:type="pct"/>
            <w:vAlign w:val="center"/>
          </w:tcPr>
          <w:p w14:paraId="5A1C8D07" w14:textId="77777777"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r>
      <w:tr w:rsidR="00CA5F82" w:rsidRPr="00A653A9" w14:paraId="1FF37791" w14:textId="4E0A27E6"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6386EF6C" w14:textId="32E59ADC"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FTZD</w:t>
            </w:r>
          </w:p>
        </w:tc>
        <w:tc>
          <w:tcPr>
            <w:tcW w:w="1017" w:type="pct"/>
            <w:noWrap/>
            <w:vAlign w:val="center"/>
            <w:hideMark/>
          </w:tcPr>
          <w:p w14:paraId="4A9BEF08" w14:textId="2D72CA95"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5B2DD5DA" w14:textId="03BFEAD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12,000 </w:t>
            </w:r>
          </w:p>
        </w:tc>
        <w:tc>
          <w:tcPr>
            <w:tcW w:w="833" w:type="pct"/>
            <w:noWrap/>
            <w:vAlign w:val="center"/>
            <w:hideMark/>
          </w:tcPr>
          <w:p w14:paraId="08720522" w14:textId="7C75BD1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 </w:t>
            </w:r>
          </w:p>
        </w:tc>
        <w:tc>
          <w:tcPr>
            <w:tcW w:w="834" w:type="pct"/>
            <w:noWrap/>
            <w:vAlign w:val="center"/>
            <w:hideMark/>
          </w:tcPr>
          <w:p w14:paraId="193BA346" w14:textId="520E94A2"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75,000 </w:t>
            </w:r>
          </w:p>
        </w:tc>
        <w:tc>
          <w:tcPr>
            <w:tcW w:w="832" w:type="pct"/>
            <w:vAlign w:val="center"/>
          </w:tcPr>
          <w:p w14:paraId="76A981A3" w14:textId="62BD8540"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1,000 </w:t>
            </w:r>
          </w:p>
        </w:tc>
      </w:tr>
      <w:tr w:rsidR="00CA5F82" w:rsidRPr="00A653A9" w14:paraId="667D8E2E" w14:textId="3AC87FC4"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5A3EC5EC" w14:textId="69266227"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MACD</w:t>
            </w:r>
          </w:p>
        </w:tc>
        <w:tc>
          <w:tcPr>
            <w:tcW w:w="1017" w:type="pct"/>
            <w:noWrap/>
            <w:vAlign w:val="center"/>
            <w:hideMark/>
          </w:tcPr>
          <w:p w14:paraId="353BDD2E" w14:textId="00905261"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54A0FD82" w14:textId="76F2035A"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7,358 </w:t>
            </w:r>
          </w:p>
        </w:tc>
        <w:tc>
          <w:tcPr>
            <w:tcW w:w="833" w:type="pct"/>
            <w:noWrap/>
            <w:vAlign w:val="center"/>
            <w:hideMark/>
          </w:tcPr>
          <w:p w14:paraId="3F2A4F39" w14:textId="4A1C9B9D"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920 </w:t>
            </w:r>
          </w:p>
        </w:tc>
        <w:tc>
          <w:tcPr>
            <w:tcW w:w="834" w:type="pct"/>
            <w:noWrap/>
            <w:vAlign w:val="center"/>
            <w:hideMark/>
          </w:tcPr>
          <w:p w14:paraId="552E263B" w14:textId="245D8E56"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110,658 </w:t>
            </w:r>
          </w:p>
        </w:tc>
        <w:tc>
          <w:tcPr>
            <w:tcW w:w="832" w:type="pct"/>
            <w:vAlign w:val="center"/>
          </w:tcPr>
          <w:p w14:paraId="38DA63FC" w14:textId="544D30EA"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7,500 </w:t>
            </w:r>
          </w:p>
        </w:tc>
      </w:tr>
      <w:tr w:rsidR="00CA5F82" w:rsidRPr="00A653A9" w14:paraId="3BB5F0F8" w14:textId="4903D54F"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79C4785D" w14:textId="3EF2C796"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METD</w:t>
            </w:r>
          </w:p>
        </w:tc>
        <w:tc>
          <w:tcPr>
            <w:tcW w:w="1017" w:type="pct"/>
            <w:noWrap/>
            <w:vAlign w:val="center"/>
            <w:hideMark/>
          </w:tcPr>
          <w:p w14:paraId="014A7915" w14:textId="02DF949F"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2113C052" w14:textId="74F14717"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89,426 </w:t>
            </w:r>
          </w:p>
        </w:tc>
        <w:tc>
          <w:tcPr>
            <w:tcW w:w="833" w:type="pct"/>
            <w:noWrap/>
            <w:vAlign w:val="center"/>
            <w:hideMark/>
          </w:tcPr>
          <w:p w14:paraId="0DC5CB48" w14:textId="443E78B5"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4,698 </w:t>
            </w:r>
          </w:p>
        </w:tc>
        <w:tc>
          <w:tcPr>
            <w:tcW w:w="834" w:type="pct"/>
            <w:noWrap/>
            <w:vAlign w:val="center"/>
            <w:hideMark/>
          </w:tcPr>
          <w:p w14:paraId="78143EB0" w14:textId="56666AD1"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25,768 </w:t>
            </w:r>
          </w:p>
        </w:tc>
        <w:tc>
          <w:tcPr>
            <w:tcW w:w="832" w:type="pct"/>
            <w:vAlign w:val="center"/>
          </w:tcPr>
          <w:p w14:paraId="331B0DCB" w14:textId="35963D34"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3,514 </w:t>
            </w:r>
          </w:p>
        </w:tc>
      </w:tr>
      <w:tr w:rsidR="00CA5F82" w:rsidRPr="00A653A9" w14:paraId="29B15989" w14:textId="433EB928"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4DEA2219" w14:textId="21B23A82"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NCHD</w:t>
            </w:r>
          </w:p>
        </w:tc>
        <w:tc>
          <w:tcPr>
            <w:tcW w:w="1017" w:type="pct"/>
            <w:noWrap/>
            <w:vAlign w:val="center"/>
            <w:hideMark/>
          </w:tcPr>
          <w:p w14:paraId="2A2B0847" w14:textId="4D7B4B6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4FE9548C" w14:textId="2E4ACD43"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99,401 </w:t>
            </w:r>
          </w:p>
        </w:tc>
        <w:tc>
          <w:tcPr>
            <w:tcW w:w="833" w:type="pct"/>
            <w:noWrap/>
            <w:vAlign w:val="center"/>
            <w:hideMark/>
          </w:tcPr>
          <w:p w14:paraId="455D6702" w14:textId="3E17D3A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422 </w:t>
            </w:r>
          </w:p>
        </w:tc>
        <w:tc>
          <w:tcPr>
            <w:tcW w:w="834" w:type="pct"/>
            <w:noWrap/>
            <w:vAlign w:val="center"/>
            <w:hideMark/>
          </w:tcPr>
          <w:p w14:paraId="2B45A400" w14:textId="6CCB1072"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25,190 </w:t>
            </w:r>
          </w:p>
        </w:tc>
        <w:tc>
          <w:tcPr>
            <w:tcW w:w="832" w:type="pct"/>
            <w:vAlign w:val="center"/>
          </w:tcPr>
          <w:p w14:paraId="585215E9" w14:textId="4427D183"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1,144 </w:t>
            </w:r>
          </w:p>
        </w:tc>
      </w:tr>
      <w:tr w:rsidR="00CA5F82" w:rsidRPr="00A653A9" w14:paraId="6F677246" w14:textId="1B826D93"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13C4A5D4" w14:textId="1F8754C1"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NTHD</w:t>
            </w:r>
          </w:p>
        </w:tc>
        <w:tc>
          <w:tcPr>
            <w:tcW w:w="1017" w:type="pct"/>
            <w:noWrap/>
            <w:vAlign w:val="center"/>
            <w:hideMark/>
          </w:tcPr>
          <w:p w14:paraId="7A1A6D4F" w14:textId="25CB4010"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62E071D9" w14:textId="7BD135DC"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3,242 </w:t>
            </w:r>
          </w:p>
        </w:tc>
        <w:tc>
          <w:tcPr>
            <w:tcW w:w="833" w:type="pct"/>
            <w:noWrap/>
            <w:vAlign w:val="center"/>
            <w:hideMark/>
          </w:tcPr>
          <w:p w14:paraId="577C7F4D" w14:textId="1DFD565D"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432 </w:t>
            </w:r>
          </w:p>
        </w:tc>
        <w:tc>
          <w:tcPr>
            <w:tcW w:w="834" w:type="pct"/>
            <w:noWrap/>
            <w:vAlign w:val="center"/>
            <w:hideMark/>
          </w:tcPr>
          <w:p w14:paraId="5E2C9545" w14:textId="21503744"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24,110 </w:t>
            </w:r>
          </w:p>
        </w:tc>
        <w:tc>
          <w:tcPr>
            <w:tcW w:w="832" w:type="pct"/>
            <w:vAlign w:val="center"/>
          </w:tcPr>
          <w:p w14:paraId="75B25A52" w14:textId="30B381C2"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9 </w:t>
            </w:r>
          </w:p>
        </w:tc>
      </w:tr>
      <w:tr w:rsidR="00CA5F82" w:rsidRPr="00A653A9" w14:paraId="3090C992" w14:textId="3E46986F"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6E97CB15" w14:textId="7C68284D"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NTWD</w:t>
            </w:r>
          </w:p>
        </w:tc>
        <w:tc>
          <w:tcPr>
            <w:tcW w:w="1017" w:type="pct"/>
            <w:noWrap/>
            <w:vAlign w:val="center"/>
            <w:hideMark/>
          </w:tcPr>
          <w:p w14:paraId="5056D4F2" w14:textId="42DEFA7F"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2E342C8B" w14:textId="7F3CC2F5"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noWrap/>
            <w:vAlign w:val="center"/>
            <w:hideMark/>
          </w:tcPr>
          <w:p w14:paraId="229DA82A" w14:textId="591035A0"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4" w:type="pct"/>
            <w:noWrap/>
            <w:vAlign w:val="center"/>
            <w:hideMark/>
          </w:tcPr>
          <w:p w14:paraId="15491AAB" w14:textId="659499AF"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1,652 </w:t>
            </w:r>
          </w:p>
        </w:tc>
        <w:tc>
          <w:tcPr>
            <w:tcW w:w="832" w:type="pct"/>
            <w:vAlign w:val="center"/>
          </w:tcPr>
          <w:p w14:paraId="3552AA46" w14:textId="7DB6F8DF"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918 </w:t>
            </w:r>
          </w:p>
        </w:tc>
      </w:tr>
      <w:tr w:rsidR="00CA5F82" w:rsidRPr="00A653A9" w14:paraId="1A4B6C60" w14:textId="40D035A8"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3D91A966" w14:textId="5955894A"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SCHD</w:t>
            </w:r>
          </w:p>
        </w:tc>
        <w:tc>
          <w:tcPr>
            <w:tcW w:w="1017" w:type="pct"/>
            <w:noWrap/>
            <w:vAlign w:val="center"/>
            <w:hideMark/>
          </w:tcPr>
          <w:p w14:paraId="181C9336" w14:textId="3219193A"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108,674 </w:t>
            </w:r>
          </w:p>
        </w:tc>
        <w:tc>
          <w:tcPr>
            <w:tcW w:w="651" w:type="pct"/>
            <w:noWrap/>
            <w:vAlign w:val="center"/>
            <w:hideMark/>
          </w:tcPr>
          <w:p w14:paraId="1B483A56" w14:textId="46D08E2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5,341 </w:t>
            </w:r>
          </w:p>
        </w:tc>
        <w:tc>
          <w:tcPr>
            <w:tcW w:w="833" w:type="pct"/>
            <w:noWrap/>
            <w:vAlign w:val="center"/>
            <w:hideMark/>
          </w:tcPr>
          <w:p w14:paraId="3CF2C62A" w14:textId="61859F3F"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2,534 </w:t>
            </w:r>
          </w:p>
        </w:tc>
        <w:tc>
          <w:tcPr>
            <w:tcW w:w="834" w:type="pct"/>
            <w:noWrap/>
            <w:vAlign w:val="center"/>
            <w:hideMark/>
          </w:tcPr>
          <w:p w14:paraId="48A919B1" w14:textId="1FB2E0FA"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262,612 </w:t>
            </w:r>
          </w:p>
        </w:tc>
        <w:tc>
          <w:tcPr>
            <w:tcW w:w="832" w:type="pct"/>
            <w:vAlign w:val="center"/>
          </w:tcPr>
          <w:p w14:paraId="0EA73E48" w14:textId="24B8395B"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98,464 </w:t>
            </w:r>
          </w:p>
        </w:tc>
      </w:tr>
      <w:tr w:rsidR="00CA5F82" w:rsidRPr="00A653A9" w14:paraId="5796E6B1" w14:textId="5A3CC100"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5A8966E1" w14:textId="61A900F9"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STATE</w:t>
            </w:r>
          </w:p>
        </w:tc>
        <w:tc>
          <w:tcPr>
            <w:tcW w:w="1017" w:type="pct"/>
            <w:noWrap/>
            <w:vAlign w:val="center"/>
            <w:hideMark/>
          </w:tcPr>
          <w:p w14:paraId="643CB4EE" w14:textId="2B9734CA"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07F5FD95" w14:textId="28923F1D"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20,849 </w:t>
            </w:r>
          </w:p>
        </w:tc>
        <w:tc>
          <w:tcPr>
            <w:tcW w:w="833" w:type="pct"/>
            <w:noWrap/>
            <w:vAlign w:val="center"/>
            <w:hideMark/>
          </w:tcPr>
          <w:p w14:paraId="030DFEEC" w14:textId="67500CF0"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3,291 </w:t>
            </w:r>
          </w:p>
        </w:tc>
        <w:tc>
          <w:tcPr>
            <w:tcW w:w="834" w:type="pct"/>
            <w:noWrap/>
            <w:vAlign w:val="center"/>
            <w:hideMark/>
          </w:tcPr>
          <w:p w14:paraId="4AF94347" w14:textId="7CA21431"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103,112 </w:t>
            </w:r>
          </w:p>
        </w:tc>
        <w:tc>
          <w:tcPr>
            <w:tcW w:w="832" w:type="pct"/>
            <w:vAlign w:val="center"/>
          </w:tcPr>
          <w:p w14:paraId="67C50586" w14:textId="62DEDEA3"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2,321 </w:t>
            </w:r>
          </w:p>
        </w:tc>
      </w:tr>
      <w:tr w:rsidR="00CA5F82" w:rsidRPr="00A653A9" w14:paraId="07A68D92" w14:textId="4B806D8B"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531CF45C" w14:textId="6B547BA0"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WBYD</w:t>
            </w:r>
          </w:p>
        </w:tc>
        <w:tc>
          <w:tcPr>
            <w:tcW w:w="1017" w:type="pct"/>
            <w:noWrap/>
            <w:vAlign w:val="center"/>
            <w:hideMark/>
          </w:tcPr>
          <w:p w14:paraId="18D74205" w14:textId="23179805"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651" w:type="pct"/>
            <w:noWrap/>
            <w:vAlign w:val="center"/>
            <w:hideMark/>
          </w:tcPr>
          <w:p w14:paraId="150C7011" w14:textId="18C53CDE"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23,489 </w:t>
            </w:r>
          </w:p>
        </w:tc>
        <w:tc>
          <w:tcPr>
            <w:tcW w:w="833" w:type="pct"/>
            <w:noWrap/>
            <w:vAlign w:val="center"/>
            <w:hideMark/>
          </w:tcPr>
          <w:p w14:paraId="19340323" w14:textId="084CCB68"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4" w:type="pct"/>
            <w:noWrap/>
            <w:vAlign w:val="center"/>
            <w:hideMark/>
          </w:tcPr>
          <w:p w14:paraId="7B6909B6" w14:textId="3FDD66C2"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196,013 </w:t>
            </w:r>
          </w:p>
        </w:tc>
        <w:tc>
          <w:tcPr>
            <w:tcW w:w="832" w:type="pct"/>
            <w:vAlign w:val="center"/>
          </w:tcPr>
          <w:p w14:paraId="18F7398D" w14:textId="109FDB28"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3,400 </w:t>
            </w:r>
          </w:p>
        </w:tc>
      </w:tr>
      <w:tr w:rsidR="00CA5F82" w:rsidRPr="00A653A9" w14:paraId="2AB80ADF" w14:textId="77C52AF8" w:rsidTr="00945366">
        <w:trPr>
          <w:trHeight w:val="170"/>
        </w:trPr>
        <w:tc>
          <w:tcPr>
            <w:cnfStyle w:val="001000000000" w:firstRow="0" w:lastRow="0" w:firstColumn="1" w:lastColumn="0" w:oddVBand="0" w:evenVBand="0" w:oddHBand="0" w:evenHBand="0" w:firstRowFirstColumn="0" w:firstRowLastColumn="0" w:lastRowFirstColumn="0" w:lastRowLastColumn="0"/>
            <w:tcW w:w="834" w:type="pct"/>
            <w:noWrap/>
            <w:vAlign w:val="center"/>
            <w:hideMark/>
          </w:tcPr>
          <w:p w14:paraId="1B91D6A9" w14:textId="052BC6F5" w:rsidR="003A3CA1" w:rsidRPr="00915F1A" w:rsidRDefault="003A3CA1" w:rsidP="00A653A9">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Total</w:t>
            </w:r>
          </w:p>
        </w:tc>
        <w:tc>
          <w:tcPr>
            <w:tcW w:w="1017" w:type="pct"/>
            <w:noWrap/>
            <w:vAlign w:val="center"/>
            <w:hideMark/>
          </w:tcPr>
          <w:p w14:paraId="44E4C2D9" w14:textId="0C4E8BAC"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108,674 </w:t>
            </w:r>
          </w:p>
        </w:tc>
        <w:tc>
          <w:tcPr>
            <w:tcW w:w="651" w:type="pct"/>
            <w:noWrap/>
            <w:vAlign w:val="center"/>
            <w:hideMark/>
          </w:tcPr>
          <w:p w14:paraId="1713D42E" w14:textId="74243B79"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261,106 </w:t>
            </w:r>
          </w:p>
        </w:tc>
        <w:tc>
          <w:tcPr>
            <w:tcW w:w="833" w:type="pct"/>
            <w:noWrap/>
            <w:vAlign w:val="center"/>
            <w:hideMark/>
          </w:tcPr>
          <w:p w14:paraId="6EBF97EA" w14:textId="0A011C83"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42,307 </w:t>
            </w:r>
          </w:p>
        </w:tc>
        <w:tc>
          <w:tcPr>
            <w:tcW w:w="834" w:type="pct"/>
            <w:noWrap/>
            <w:vAlign w:val="center"/>
            <w:hideMark/>
          </w:tcPr>
          <w:p w14:paraId="4733D67B" w14:textId="517BCA41"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824,215 </w:t>
            </w:r>
          </w:p>
        </w:tc>
        <w:tc>
          <w:tcPr>
            <w:tcW w:w="832" w:type="pct"/>
            <w:vAlign w:val="center"/>
          </w:tcPr>
          <w:p w14:paraId="620E5A03" w14:textId="3E33A114" w:rsidR="003A3CA1" w:rsidRPr="00915F1A" w:rsidRDefault="003A3CA1" w:rsidP="00A653A9">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000000"/>
                <w:szCs w:val="20"/>
              </w:rPr>
              <w:t xml:space="preserve">118,270 </w:t>
            </w:r>
          </w:p>
        </w:tc>
      </w:tr>
    </w:tbl>
    <w:p w14:paraId="2074DCC0" w14:textId="77777777" w:rsidR="00915F1A" w:rsidRDefault="00915F1A"/>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36900" w14:paraId="4C441E78" w14:textId="77777777" w:rsidTr="00915F1A">
        <w:tc>
          <w:tcPr>
            <w:tcW w:w="9070" w:type="dxa"/>
            <w:gridSpan w:val="2"/>
            <w:shd w:val="clear" w:color="auto" w:fill="003C69"/>
          </w:tcPr>
          <w:p w14:paraId="0F337F11" w14:textId="2CFFB84A" w:rsidR="00D36900" w:rsidRPr="00D36900" w:rsidRDefault="00D36900" w:rsidP="00D36900">
            <w:pPr>
              <w:pStyle w:val="Heading2"/>
              <w:rPr>
                <w:color w:val="FFFFFF" w:themeColor="background1"/>
              </w:rPr>
            </w:pPr>
            <w:bookmarkStart w:id="19" w:name="_Toc145592670"/>
            <w:bookmarkStart w:id="20" w:name="_Toc147824134"/>
            <w:bookmarkEnd w:id="18"/>
            <w:r w:rsidRPr="00D36900">
              <w:rPr>
                <w:color w:val="FFFFFF" w:themeColor="background1"/>
              </w:rPr>
              <w:lastRenderedPageBreak/>
              <w:t>Case study 2</w:t>
            </w:r>
            <w:bookmarkEnd w:id="19"/>
            <w:r w:rsidR="00BE627A">
              <w:rPr>
                <w:color w:val="FFFFFF" w:themeColor="background1"/>
              </w:rPr>
              <w:t xml:space="preserve">: </w:t>
            </w:r>
            <w:r w:rsidR="00BE627A" w:rsidRPr="00BE627A">
              <w:rPr>
                <w:color w:val="FFFFFF" w:themeColor="background1"/>
              </w:rPr>
              <w:t>Varsity Lakes to Burleigh (VL2B)</w:t>
            </w:r>
            <w:bookmarkEnd w:id="20"/>
          </w:p>
          <w:p w14:paraId="11F58504" w14:textId="77777777" w:rsidR="00D36900" w:rsidRPr="004A1001" w:rsidRDefault="00D36900" w:rsidP="00D36900">
            <w:pPr>
              <w:spacing w:after="120"/>
              <w:rPr>
                <w:sz w:val="24"/>
                <w:szCs w:val="24"/>
              </w:rPr>
            </w:pPr>
            <w:r w:rsidRPr="004A1001">
              <w:rPr>
                <w:sz w:val="24"/>
                <w:szCs w:val="24"/>
              </w:rPr>
              <w:t>The project is part of the upgrade to the Pacific Motorway (M1) in the South Coast Region. As the project undertook an Infrastructure Sustainability Assessment (part of the IS Rating Scheme of the Infrastructure Sustainability Council), it had a focus on tracking and minimising waste going to landfill.</w:t>
            </w:r>
          </w:p>
          <w:p w14:paraId="2CF53BE7" w14:textId="7C37627C" w:rsidR="00D36900" w:rsidRPr="004A1001" w:rsidRDefault="00D36900" w:rsidP="00D36900">
            <w:pPr>
              <w:spacing w:after="120"/>
              <w:rPr>
                <w:sz w:val="24"/>
                <w:szCs w:val="24"/>
              </w:rPr>
            </w:pPr>
            <w:r w:rsidRPr="004A1001">
              <w:rPr>
                <w:sz w:val="24"/>
                <w:szCs w:val="24"/>
              </w:rPr>
              <w:t>During the construction all waste streams were tracked monthly and input into the VL2B Waste Register. The aim was to utilise suitably qualified and experienced waste subcontractors to provide collection points, transport, sorting, disposal, recycling, and reuse/resource recovery options for all waste streams generated on the project.</w:t>
            </w:r>
          </w:p>
          <w:p w14:paraId="667C11BF" w14:textId="4B21A97D" w:rsidR="00D36900" w:rsidRDefault="00D36900" w:rsidP="00D36900">
            <w:pPr>
              <w:spacing w:after="120"/>
              <w:rPr>
                <w:sz w:val="24"/>
                <w:szCs w:val="24"/>
              </w:rPr>
            </w:pPr>
            <w:r w:rsidRPr="004A1001">
              <w:rPr>
                <w:sz w:val="24"/>
                <w:szCs w:val="24"/>
              </w:rPr>
              <w:t>The project generated approximately 30,000T of concrete which was partially processed on site before being taken for recycling (as shown in the images below from the project site). Overall, the project was able to achieve an outstanding result of more than 99 per cent diversion of wastes from landfill.</w:t>
            </w:r>
          </w:p>
          <w:p w14:paraId="61133FEE" w14:textId="77777777" w:rsidR="004A1001" w:rsidRDefault="004A1001" w:rsidP="00D36900">
            <w:pPr>
              <w:spacing w:after="120"/>
              <w:rPr>
                <w:sz w:val="24"/>
                <w:szCs w:val="24"/>
              </w:rPr>
            </w:pPr>
            <w:r>
              <w:rPr>
                <w:sz w:val="24"/>
                <w:szCs w:val="24"/>
              </w:rPr>
              <w:t xml:space="preserve">For more information visit: </w:t>
            </w:r>
          </w:p>
          <w:p w14:paraId="656FF2AE" w14:textId="76D0CAD8" w:rsidR="004A1001" w:rsidRPr="00FC27D9" w:rsidRDefault="00000000" w:rsidP="00D36900">
            <w:pPr>
              <w:spacing w:after="120"/>
              <w:rPr>
                <w:color w:val="FFFFFF" w:themeColor="background1"/>
                <w:sz w:val="24"/>
                <w:szCs w:val="24"/>
              </w:rPr>
            </w:pPr>
            <w:hyperlink r:id="rId31" w:history="1">
              <w:r w:rsidR="004A1001" w:rsidRPr="00FC27D9">
                <w:rPr>
                  <w:rStyle w:val="Hyperlink"/>
                  <w:color w:val="FFFFFF" w:themeColor="background1"/>
                  <w:sz w:val="24"/>
                  <w:szCs w:val="24"/>
                </w:rPr>
                <w:t>www.tmr.qld.gov.au/projects/pacific-motorway-m1-varsity-lakes-to-burleigh</w:t>
              </w:r>
            </w:hyperlink>
          </w:p>
          <w:p w14:paraId="58E46002" w14:textId="13AF3097" w:rsidR="00D36900" w:rsidRPr="00D36900" w:rsidRDefault="00D36900" w:rsidP="00D36900">
            <w:pPr>
              <w:spacing w:after="120"/>
              <w:rPr>
                <w:i/>
                <w:iCs/>
              </w:rPr>
            </w:pPr>
            <w:r w:rsidRPr="004A1001">
              <w:rPr>
                <w:i/>
                <w:iCs/>
                <w:sz w:val="24"/>
                <w:szCs w:val="24"/>
              </w:rPr>
              <w:t xml:space="preserve">Images: Pictures taken on the VL2B project site. © </w:t>
            </w:r>
            <w:r w:rsidR="0074557B">
              <w:rPr>
                <w:i/>
                <w:iCs/>
                <w:sz w:val="24"/>
                <w:szCs w:val="24"/>
              </w:rPr>
              <w:t xml:space="preserve">The </w:t>
            </w:r>
            <w:r w:rsidRPr="004A1001">
              <w:rPr>
                <w:i/>
                <w:iCs/>
                <w:sz w:val="24"/>
                <w:szCs w:val="24"/>
              </w:rPr>
              <w:t>State of Queensland.</w:t>
            </w:r>
          </w:p>
        </w:tc>
      </w:tr>
      <w:tr w:rsidR="00D36900" w14:paraId="4A3D951D" w14:textId="77777777" w:rsidTr="00915F1A">
        <w:trPr>
          <w:trHeight w:val="4025"/>
        </w:trPr>
        <w:tc>
          <w:tcPr>
            <w:tcW w:w="4535" w:type="dxa"/>
            <w:tcMar>
              <w:left w:w="0" w:type="dxa"/>
              <w:right w:w="0" w:type="dxa"/>
            </w:tcMar>
          </w:tcPr>
          <w:p w14:paraId="6C51B117" w14:textId="2E8FE624" w:rsidR="00D36900" w:rsidRDefault="00D36900" w:rsidP="00D36900">
            <w:pPr>
              <w:pStyle w:val="NoSpacing"/>
            </w:pPr>
            <w:r>
              <w:rPr>
                <w:noProof/>
              </w:rPr>
              <w:drawing>
                <wp:inline distT="0" distB="0" distL="0" distR="0" wp14:anchorId="39445E79" wp14:editId="0BF22F59">
                  <wp:extent cx="2879725" cy="2493818"/>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880000" cy="2494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tcMar>
              <w:left w:w="0" w:type="dxa"/>
              <w:right w:w="0" w:type="dxa"/>
            </w:tcMar>
          </w:tcPr>
          <w:p w14:paraId="1503B4D9" w14:textId="55DA5B6A" w:rsidR="00D36900" w:rsidRDefault="00D36900" w:rsidP="00101048">
            <w:r>
              <w:rPr>
                <w:noProof/>
              </w:rPr>
              <w:drawing>
                <wp:inline distT="0" distB="0" distL="0" distR="0" wp14:anchorId="34F1D384" wp14:editId="3B0DEE1F">
                  <wp:extent cx="2879725" cy="2493645"/>
                  <wp:effectExtent l="0" t="0" r="0" b="1905"/>
                  <wp:docPr id="52" name="Picture 52" descr="Existing concrete surface that has been partially crushed prior to removal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isting concrete surface that has been partially crushed prior to removal for recycli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80000" cy="24938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4D4F6F" w14:textId="0B38E6FD" w:rsidR="00D36900" w:rsidRDefault="00D36900" w:rsidP="00D36900">
      <w:pPr>
        <w:pStyle w:val="NoSpacing"/>
      </w:pPr>
      <w:bookmarkStart w:id="21" w:name="_Toc145588823"/>
      <w:r>
        <w:br w:type="page"/>
      </w:r>
    </w:p>
    <w:p w14:paraId="49F911F8" w14:textId="66CAD4A9" w:rsidR="008D39B0" w:rsidRDefault="008D39B0" w:rsidP="00B27171">
      <w:pPr>
        <w:pStyle w:val="Heading1"/>
      </w:pPr>
      <w:bookmarkStart w:id="22" w:name="_Toc145592671"/>
      <w:bookmarkStart w:id="23" w:name="_Toc147824135"/>
      <w:r>
        <w:lastRenderedPageBreak/>
        <w:t>Using recycled materials</w:t>
      </w:r>
      <w:bookmarkEnd w:id="21"/>
      <w:bookmarkEnd w:id="22"/>
      <w:bookmarkEnd w:id="23"/>
    </w:p>
    <w:p w14:paraId="2C83020A" w14:textId="6DEC7FB6" w:rsidR="00D36900" w:rsidRPr="004A1001" w:rsidRDefault="00D36900" w:rsidP="00D36900">
      <w:pPr>
        <w:rPr>
          <w:sz w:val="24"/>
          <w:szCs w:val="24"/>
        </w:rPr>
      </w:pPr>
      <w:r w:rsidRPr="004A1001">
        <w:rPr>
          <w:sz w:val="24"/>
          <w:szCs w:val="24"/>
        </w:rPr>
        <w:t>In addition to collecting information on the destination of wastes that are generated, TMR collects information on the recycled materials that are used to construct infrastructure. TMR prefers to use recycled materials on transport infrastructure projects, and this is discussed more in the ‘Waste 2 Resource Strategy Implementation’ section</w:t>
      </w:r>
      <w:r w:rsidR="006A67DB">
        <w:rPr>
          <w:sz w:val="24"/>
          <w:szCs w:val="24"/>
        </w:rPr>
        <w:t xml:space="preserve"> (from page 11)</w:t>
      </w:r>
      <w:r w:rsidRPr="004A1001">
        <w:rPr>
          <w:sz w:val="24"/>
          <w:szCs w:val="24"/>
        </w:rPr>
        <w:t>.</w:t>
      </w:r>
    </w:p>
    <w:p w14:paraId="4C611241" w14:textId="1D043B5E" w:rsidR="00D36900" w:rsidRPr="004A1001" w:rsidRDefault="00D36900" w:rsidP="00D36900">
      <w:pPr>
        <w:rPr>
          <w:sz w:val="24"/>
          <w:szCs w:val="24"/>
        </w:rPr>
      </w:pPr>
      <w:r w:rsidRPr="004A1001">
        <w:rPr>
          <w:sz w:val="24"/>
          <w:szCs w:val="24"/>
        </w:rPr>
        <w:t>The use of recycled materials is more common in South-east Queensland due to the concentration of recycled material suppliers. In-situ materials, or material that are already available on site, and recovered pavement material, are the most used recycled materials in 2022–2023. The Mackay/Whitsunday District reported the highest use of recycled materials, and this is highlighted in the May Downs Road</w:t>
      </w:r>
      <w:r w:rsidR="004A1001">
        <w:rPr>
          <w:sz w:val="24"/>
          <w:szCs w:val="24"/>
        </w:rPr>
        <w:t xml:space="preserve">, </w:t>
      </w:r>
      <w:proofErr w:type="gramStart"/>
      <w:r w:rsidR="004A1001">
        <w:rPr>
          <w:sz w:val="24"/>
          <w:szCs w:val="24"/>
        </w:rPr>
        <w:t>pave</w:t>
      </w:r>
      <w:proofErr w:type="gramEnd"/>
      <w:r w:rsidR="004A1001">
        <w:rPr>
          <w:sz w:val="24"/>
          <w:szCs w:val="24"/>
        </w:rPr>
        <w:t xml:space="preserve"> and seal</w:t>
      </w:r>
      <w:r w:rsidR="00B57A6C">
        <w:rPr>
          <w:sz w:val="24"/>
          <w:szCs w:val="24"/>
        </w:rPr>
        <w:t xml:space="preserve"> project</w:t>
      </w:r>
      <w:r w:rsidRPr="004A1001">
        <w:rPr>
          <w:sz w:val="24"/>
          <w:szCs w:val="24"/>
        </w:rPr>
        <w:t xml:space="preserve"> case study on page </w:t>
      </w:r>
      <w:r w:rsidR="00B57A6C">
        <w:rPr>
          <w:sz w:val="24"/>
          <w:szCs w:val="24"/>
        </w:rPr>
        <w:t>1</w:t>
      </w:r>
      <w:r w:rsidR="006A67DB">
        <w:rPr>
          <w:sz w:val="24"/>
          <w:szCs w:val="24"/>
        </w:rPr>
        <w:t>0</w:t>
      </w:r>
      <w:r w:rsidRPr="004A1001">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86"/>
      </w:tblGrid>
      <w:tr w:rsidR="00361356" w14:paraId="1ADFCB5B" w14:textId="77777777" w:rsidTr="004A1001">
        <w:tc>
          <w:tcPr>
            <w:tcW w:w="4531" w:type="dxa"/>
          </w:tcPr>
          <w:p w14:paraId="7EB2A754" w14:textId="77777777" w:rsidR="00361356" w:rsidRDefault="00361356" w:rsidP="00361356">
            <w:pPr>
              <w:pStyle w:val="NoSpacing"/>
              <w:jc w:val="center"/>
            </w:pPr>
            <w:r>
              <w:rPr>
                <w:noProof/>
              </w:rPr>
              <w:drawing>
                <wp:inline distT="0" distB="0" distL="0" distR="0" wp14:anchorId="5ED75AF7" wp14:editId="763BA3DF">
                  <wp:extent cx="2858400" cy="2394000"/>
                  <wp:effectExtent l="0" t="0" r="0" b="6350"/>
                  <wp:docPr id="30" name="Picture 30" descr="The quantity of recycled materials used sorted from highest use to lowest use are insitu material, recovered pavement, reclaimed asphalt, crumbed rubber and crushed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quantity of recycled materials used sorted from highest use to lowest use are insitu material, recovered pavement, reclaimed asphalt, crumbed rubber and crushed concrete."/>
                          <pic:cNvPicPr/>
                        </pic:nvPicPr>
                        <pic:blipFill>
                          <a:blip r:embed="rId34">
                            <a:extLst>
                              <a:ext uri="{28A0092B-C50C-407E-A947-70E740481C1C}">
                                <a14:useLocalDpi xmlns:a14="http://schemas.microsoft.com/office/drawing/2010/main" val="0"/>
                              </a:ext>
                            </a:extLst>
                          </a:blip>
                          <a:stretch>
                            <a:fillRect/>
                          </a:stretch>
                        </pic:blipFill>
                        <pic:spPr>
                          <a:xfrm>
                            <a:off x="0" y="0"/>
                            <a:ext cx="2858400" cy="2394000"/>
                          </a:xfrm>
                          <a:prstGeom prst="rect">
                            <a:avLst/>
                          </a:prstGeom>
                          <a:ln>
                            <a:noFill/>
                          </a:ln>
                        </pic:spPr>
                      </pic:pic>
                    </a:graphicData>
                  </a:graphic>
                </wp:inline>
              </w:drawing>
            </w:r>
          </w:p>
          <w:p w14:paraId="6D5BAF5F" w14:textId="155138E2" w:rsidR="00361356" w:rsidRPr="00A653A9" w:rsidRDefault="00583AFD" w:rsidP="00A653A9">
            <w:pPr>
              <w:pStyle w:val="Caption"/>
            </w:pPr>
            <w:r w:rsidRPr="00A653A9">
              <w:t xml:space="preserve"> </w:t>
            </w:r>
            <w:r w:rsidR="00361356" w:rsidRPr="00A653A9">
              <w:t xml:space="preserve">Figure </w:t>
            </w:r>
            <w:r w:rsidR="00B600FE" w:rsidRPr="00A653A9">
              <w:t>1</w:t>
            </w:r>
            <w:r w:rsidR="004A1001" w:rsidRPr="00A653A9">
              <w:t>3</w:t>
            </w:r>
            <w:r w:rsidR="00361356" w:rsidRPr="00A653A9">
              <w:t>:</w:t>
            </w:r>
            <w:r w:rsidRPr="00A653A9">
              <w:t xml:space="preserve"> </w:t>
            </w:r>
            <w:r w:rsidR="00361356" w:rsidRPr="00A653A9">
              <w:t xml:space="preserve">Recycled </w:t>
            </w:r>
            <w:r w:rsidR="00F663A4" w:rsidRPr="00A653A9">
              <w:t>m</w:t>
            </w:r>
            <w:r w:rsidR="00361356" w:rsidRPr="00A653A9">
              <w:t xml:space="preserve">aterials </w:t>
            </w:r>
            <w:r w:rsidR="00F663A4" w:rsidRPr="00A653A9">
              <w:t>u</w:t>
            </w:r>
            <w:r w:rsidR="00361356" w:rsidRPr="00A653A9">
              <w:t>sed</w:t>
            </w:r>
            <w:r w:rsidR="004A1001" w:rsidRPr="00A653A9">
              <w:t>.</w:t>
            </w:r>
          </w:p>
        </w:tc>
        <w:tc>
          <w:tcPr>
            <w:tcW w:w="4531" w:type="dxa"/>
            <w:vMerge w:val="restart"/>
          </w:tcPr>
          <w:p w14:paraId="4492CAB7" w14:textId="77777777" w:rsidR="00BE627A" w:rsidRDefault="00361356" w:rsidP="00BE627A">
            <w:pPr>
              <w:pStyle w:val="NoSpacing"/>
              <w:keepNext/>
            </w:pPr>
            <w:r>
              <w:rPr>
                <w:noProof/>
              </w:rPr>
              <w:drawing>
                <wp:inline distT="0" distB="0" distL="0" distR="0" wp14:anchorId="39CE9291" wp14:editId="25BCBD1E">
                  <wp:extent cx="2833200" cy="5108400"/>
                  <wp:effectExtent l="0" t="0" r="5715" b="0"/>
                  <wp:docPr id="58" name="Picture 58" descr="Colour shading relates to the quantity of recycled materials used. The darkest areas have the highest quantity. There is a map insert showing South-east Queensland and a square to represent data with no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lour shading relates to the quantity of recycled materials used. The darkest areas have the highest quantity. There is a map insert showing South-east Queensland and a square to represent data with no location information."/>
                          <pic:cNvPicPr/>
                        </pic:nvPicPr>
                        <pic:blipFill>
                          <a:blip r:embed="rId35">
                            <a:extLst>
                              <a:ext uri="{28A0092B-C50C-407E-A947-70E740481C1C}">
                                <a14:useLocalDpi xmlns:a14="http://schemas.microsoft.com/office/drawing/2010/main" val="0"/>
                              </a:ext>
                            </a:extLst>
                          </a:blip>
                          <a:stretch>
                            <a:fillRect/>
                          </a:stretch>
                        </pic:blipFill>
                        <pic:spPr>
                          <a:xfrm>
                            <a:off x="0" y="0"/>
                            <a:ext cx="2833200" cy="5108400"/>
                          </a:xfrm>
                          <a:prstGeom prst="rect">
                            <a:avLst/>
                          </a:prstGeom>
                          <a:ln>
                            <a:noFill/>
                          </a:ln>
                        </pic:spPr>
                      </pic:pic>
                    </a:graphicData>
                  </a:graphic>
                </wp:inline>
              </w:drawing>
            </w:r>
          </w:p>
          <w:p w14:paraId="7163C093" w14:textId="67FFF736" w:rsidR="00361356" w:rsidRPr="00A653A9" w:rsidRDefault="00BE627A" w:rsidP="00A653A9">
            <w:pPr>
              <w:pStyle w:val="Caption"/>
            </w:pPr>
            <w:r w:rsidRPr="00A653A9">
              <w:t xml:space="preserve">Figure </w:t>
            </w:r>
            <w:r w:rsidR="00583AFD" w:rsidRPr="00A653A9">
              <w:t>1</w:t>
            </w:r>
            <w:r w:rsidR="004A1001" w:rsidRPr="00A653A9">
              <w:t>5</w:t>
            </w:r>
            <w:r w:rsidR="00583AFD" w:rsidRPr="00A653A9">
              <w:t>:</w:t>
            </w:r>
            <w:r w:rsidRPr="00A653A9">
              <w:t xml:space="preserve"> Distribution of </w:t>
            </w:r>
            <w:r w:rsidR="00B600FE" w:rsidRPr="00A653A9">
              <w:t>r</w:t>
            </w:r>
            <w:r w:rsidRPr="00A653A9">
              <w:t xml:space="preserve">ecycled </w:t>
            </w:r>
            <w:r w:rsidR="00B600FE" w:rsidRPr="00A653A9">
              <w:t>m</w:t>
            </w:r>
            <w:r w:rsidRPr="00A653A9">
              <w:t xml:space="preserve">aterials </w:t>
            </w:r>
            <w:r w:rsidR="00B600FE" w:rsidRPr="00A653A9">
              <w:t>u</w:t>
            </w:r>
            <w:r w:rsidRPr="00A653A9">
              <w:t>sed</w:t>
            </w:r>
            <w:r w:rsidR="004A1001" w:rsidRPr="00A653A9">
              <w:t>.</w:t>
            </w:r>
          </w:p>
        </w:tc>
      </w:tr>
      <w:tr w:rsidR="00361356" w14:paraId="0C6C4DA9" w14:textId="77777777" w:rsidTr="004A1001">
        <w:tc>
          <w:tcPr>
            <w:tcW w:w="4531" w:type="dxa"/>
          </w:tcPr>
          <w:p w14:paraId="32275406" w14:textId="77777777" w:rsidR="00BE627A" w:rsidRDefault="00361356" w:rsidP="00BE627A">
            <w:pPr>
              <w:pStyle w:val="NoSpacing"/>
              <w:keepNext/>
              <w:jc w:val="center"/>
            </w:pPr>
            <w:r>
              <w:rPr>
                <w:noProof/>
              </w:rPr>
              <w:drawing>
                <wp:inline distT="0" distB="0" distL="0" distR="0" wp14:anchorId="73EE8165" wp14:editId="0A3BC2CE">
                  <wp:extent cx="2826000" cy="2502000"/>
                  <wp:effectExtent l="0" t="0" r="0" b="0"/>
                  <wp:docPr id="31" name="Picture 31" descr="The use of recycled materials varies across the state. Mackay region had the highest use of recycled materials which comprised of recovered pavement and insitu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use of recycled materials varies across the state. Mackay region had the highest use of recycled materials which comprised of recovered pavement and insitu material."/>
                          <pic:cNvPicPr/>
                        </pic:nvPicPr>
                        <pic:blipFill>
                          <a:blip r:embed="rId36">
                            <a:extLst>
                              <a:ext uri="{28A0092B-C50C-407E-A947-70E740481C1C}">
                                <a14:useLocalDpi xmlns:a14="http://schemas.microsoft.com/office/drawing/2010/main" val="0"/>
                              </a:ext>
                            </a:extLst>
                          </a:blip>
                          <a:stretch>
                            <a:fillRect/>
                          </a:stretch>
                        </pic:blipFill>
                        <pic:spPr>
                          <a:xfrm>
                            <a:off x="0" y="0"/>
                            <a:ext cx="2826000" cy="2502000"/>
                          </a:xfrm>
                          <a:prstGeom prst="rect">
                            <a:avLst/>
                          </a:prstGeom>
                          <a:ln>
                            <a:noFill/>
                          </a:ln>
                        </pic:spPr>
                      </pic:pic>
                    </a:graphicData>
                  </a:graphic>
                </wp:inline>
              </w:drawing>
            </w:r>
          </w:p>
          <w:p w14:paraId="16891098" w14:textId="61BBCCE6" w:rsidR="00BE627A" w:rsidRPr="00A653A9" w:rsidRDefault="00BE627A" w:rsidP="00A653A9">
            <w:pPr>
              <w:pStyle w:val="Caption"/>
            </w:pPr>
            <w:r w:rsidRPr="00A653A9">
              <w:t xml:space="preserve">Figure </w:t>
            </w:r>
            <w:r w:rsidR="00B600FE" w:rsidRPr="00A653A9">
              <w:t>1</w:t>
            </w:r>
            <w:r w:rsidR="004A1001" w:rsidRPr="00A653A9">
              <w:t>4</w:t>
            </w:r>
            <w:r w:rsidRPr="00A653A9">
              <w:t xml:space="preserve">: Recycled </w:t>
            </w:r>
            <w:r w:rsidR="00B600FE" w:rsidRPr="00A653A9">
              <w:t>m</w:t>
            </w:r>
            <w:r w:rsidRPr="00A653A9">
              <w:t xml:space="preserve">aterials for </w:t>
            </w:r>
            <w:r w:rsidR="00B600FE" w:rsidRPr="00A653A9">
              <w:t>l</w:t>
            </w:r>
            <w:r w:rsidRPr="00A653A9">
              <w:t>ocation</w:t>
            </w:r>
            <w:r w:rsidR="004A1001" w:rsidRPr="00A653A9">
              <w:t>.</w:t>
            </w:r>
          </w:p>
        </w:tc>
        <w:tc>
          <w:tcPr>
            <w:tcW w:w="4531" w:type="dxa"/>
            <w:vMerge/>
          </w:tcPr>
          <w:p w14:paraId="234E42FB" w14:textId="77777777" w:rsidR="00361356" w:rsidRDefault="00361356" w:rsidP="00D36900"/>
        </w:tc>
      </w:tr>
    </w:tbl>
    <w:p w14:paraId="51EC0D90" w14:textId="77777777" w:rsidR="008019EF" w:rsidRDefault="008019EF" w:rsidP="004A1001">
      <w:pPr>
        <w:rPr>
          <w:lang w:eastAsia="en-AU"/>
        </w:rPr>
      </w:pPr>
    </w:p>
    <w:p w14:paraId="1CD285A4" w14:textId="77777777" w:rsidR="00A653A9" w:rsidRDefault="00A653A9" w:rsidP="00A653A9">
      <w:pPr>
        <w:pStyle w:val="Caption"/>
      </w:pPr>
      <w:r>
        <w:br w:type="page"/>
      </w:r>
    </w:p>
    <w:p w14:paraId="192CA342" w14:textId="0FBE9122" w:rsidR="00C05DC6" w:rsidRPr="00A653A9" w:rsidRDefault="00C05DC6" w:rsidP="00A653A9">
      <w:pPr>
        <w:pStyle w:val="Caption"/>
      </w:pPr>
      <w:r w:rsidRPr="00A653A9">
        <w:lastRenderedPageBreak/>
        <w:t xml:space="preserve">Table </w:t>
      </w:r>
      <w:r w:rsidR="004A1001" w:rsidRPr="00A653A9">
        <w:t>3</w:t>
      </w:r>
      <w:r w:rsidRPr="00A653A9">
        <w:t xml:space="preserve">: </w:t>
      </w:r>
      <w:r w:rsidR="000371E0" w:rsidRPr="00A653A9">
        <w:t>R</w:t>
      </w:r>
      <w:r w:rsidRPr="00A653A9">
        <w:t xml:space="preserve">ecycled </w:t>
      </w:r>
      <w:r w:rsidR="000371E0" w:rsidRPr="00A653A9">
        <w:t xml:space="preserve">materials used </w:t>
      </w:r>
      <w:r w:rsidRPr="00A653A9">
        <w:t>for location</w:t>
      </w:r>
      <w:r w:rsidR="004A1001" w:rsidRPr="00A653A9">
        <w:t>.</w:t>
      </w:r>
    </w:p>
    <w:tbl>
      <w:tblPr>
        <w:tblStyle w:val="NavyTable"/>
        <w:tblW w:w="0" w:type="auto"/>
        <w:tblInd w:w="0" w:type="dxa"/>
        <w:tblLook w:val="06A0" w:firstRow="1" w:lastRow="0" w:firstColumn="1" w:lastColumn="0" w:noHBand="1" w:noVBand="1"/>
      </w:tblPr>
      <w:tblGrid>
        <w:gridCol w:w="1276"/>
        <w:gridCol w:w="1428"/>
        <w:gridCol w:w="1592"/>
        <w:gridCol w:w="1592"/>
        <w:gridCol w:w="1592"/>
        <w:gridCol w:w="1592"/>
      </w:tblGrid>
      <w:tr w:rsidR="00EE5FB2" w:rsidRPr="00A653A9" w14:paraId="38437964" w14:textId="77777777" w:rsidTr="0094536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01DD8979"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Location</w:t>
            </w:r>
          </w:p>
        </w:tc>
        <w:tc>
          <w:tcPr>
            <w:tcW w:w="1428" w:type="dxa"/>
            <w:noWrap/>
            <w:vAlign w:val="center"/>
            <w:hideMark/>
          </w:tcPr>
          <w:p w14:paraId="3AD56E19" w14:textId="2E363898" w:rsidR="00657890" w:rsidRPr="00915F1A" w:rsidRDefault="00F67ACD"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 xml:space="preserve">Crumbed </w:t>
            </w:r>
            <w:r w:rsidR="004A1001" w:rsidRPr="00915F1A">
              <w:rPr>
                <w:rFonts w:asciiTheme="minorHAnsi" w:eastAsia="Times New Roman" w:hAnsiTheme="minorHAnsi" w:cstheme="minorHAnsi"/>
                <w:szCs w:val="20"/>
                <w:lang w:eastAsia="en-AU"/>
              </w:rPr>
              <w:t>r</w:t>
            </w:r>
            <w:r w:rsidRPr="00915F1A">
              <w:rPr>
                <w:rFonts w:asciiTheme="minorHAnsi" w:eastAsia="Times New Roman" w:hAnsiTheme="minorHAnsi" w:cstheme="minorHAnsi"/>
                <w:szCs w:val="20"/>
                <w:lang w:eastAsia="en-AU"/>
              </w:rPr>
              <w:t>ubber</w:t>
            </w:r>
          </w:p>
          <w:p w14:paraId="2AEFA9F2" w14:textId="28ED778C" w:rsidR="00657890" w:rsidRPr="00915F1A" w:rsidRDefault="00657890"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592" w:type="dxa"/>
            <w:noWrap/>
            <w:vAlign w:val="center"/>
            <w:hideMark/>
          </w:tcPr>
          <w:p w14:paraId="6BE5EED3" w14:textId="7125DBFC" w:rsidR="00657890" w:rsidRPr="00915F1A" w:rsidRDefault="00F67ACD" w:rsidP="00915F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 xml:space="preserve">Crushed </w:t>
            </w:r>
            <w:r w:rsidR="004A1001" w:rsidRPr="00915F1A">
              <w:rPr>
                <w:rFonts w:asciiTheme="minorHAnsi" w:eastAsia="Times New Roman" w:hAnsiTheme="minorHAnsi" w:cstheme="minorHAnsi"/>
                <w:szCs w:val="20"/>
                <w:lang w:eastAsia="en-AU"/>
              </w:rPr>
              <w:t>c</w:t>
            </w:r>
            <w:r w:rsidRPr="00915F1A">
              <w:rPr>
                <w:rFonts w:asciiTheme="minorHAnsi" w:eastAsia="Times New Roman" w:hAnsiTheme="minorHAnsi" w:cstheme="minorHAnsi"/>
                <w:szCs w:val="20"/>
                <w:lang w:eastAsia="en-AU"/>
              </w:rPr>
              <w:t>oncrete</w:t>
            </w:r>
          </w:p>
          <w:p w14:paraId="47576B3A" w14:textId="6F07F2AF" w:rsidR="00F67ACD" w:rsidRPr="00915F1A" w:rsidRDefault="00657890"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592" w:type="dxa"/>
            <w:noWrap/>
            <w:vAlign w:val="center"/>
            <w:hideMark/>
          </w:tcPr>
          <w:p w14:paraId="757C1CF3" w14:textId="5475384C" w:rsidR="00657890" w:rsidRPr="00915F1A" w:rsidRDefault="00F67ACD" w:rsidP="00915F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In</w:t>
            </w:r>
            <w:r w:rsidR="004A1001" w:rsidRPr="00915F1A">
              <w:rPr>
                <w:rFonts w:asciiTheme="minorHAnsi" w:eastAsia="Times New Roman" w:hAnsiTheme="minorHAnsi" w:cstheme="minorHAnsi"/>
                <w:szCs w:val="20"/>
                <w:lang w:eastAsia="en-AU"/>
              </w:rPr>
              <w:t xml:space="preserve"> </w:t>
            </w:r>
            <w:r w:rsidRPr="00915F1A">
              <w:rPr>
                <w:rFonts w:asciiTheme="minorHAnsi" w:eastAsia="Times New Roman" w:hAnsiTheme="minorHAnsi" w:cstheme="minorHAnsi"/>
                <w:szCs w:val="20"/>
                <w:lang w:eastAsia="en-AU"/>
              </w:rPr>
              <w:t xml:space="preserve">situ </w:t>
            </w:r>
            <w:r w:rsidR="004A1001" w:rsidRPr="00915F1A">
              <w:rPr>
                <w:rFonts w:asciiTheme="minorHAnsi" w:eastAsia="Times New Roman" w:hAnsiTheme="minorHAnsi" w:cstheme="minorHAnsi"/>
                <w:szCs w:val="20"/>
                <w:lang w:eastAsia="en-AU"/>
              </w:rPr>
              <w:t>m</w:t>
            </w:r>
            <w:r w:rsidRPr="00915F1A">
              <w:rPr>
                <w:rFonts w:asciiTheme="minorHAnsi" w:eastAsia="Times New Roman" w:hAnsiTheme="minorHAnsi" w:cstheme="minorHAnsi"/>
                <w:szCs w:val="20"/>
                <w:lang w:eastAsia="en-AU"/>
              </w:rPr>
              <w:t>aterial</w:t>
            </w:r>
          </w:p>
          <w:p w14:paraId="7FB97765" w14:textId="356F8266" w:rsidR="00F67ACD" w:rsidRPr="00915F1A" w:rsidRDefault="00657890"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592" w:type="dxa"/>
            <w:noWrap/>
            <w:vAlign w:val="center"/>
            <w:hideMark/>
          </w:tcPr>
          <w:p w14:paraId="39274D03" w14:textId="2FFDAF3A" w:rsidR="00657890" w:rsidRPr="00915F1A" w:rsidRDefault="00F67ACD" w:rsidP="00915F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 xml:space="preserve">Reclaimed </w:t>
            </w:r>
            <w:r w:rsidR="004A1001" w:rsidRPr="00915F1A">
              <w:rPr>
                <w:rFonts w:asciiTheme="minorHAnsi" w:eastAsia="Times New Roman" w:hAnsiTheme="minorHAnsi" w:cstheme="minorHAnsi"/>
                <w:szCs w:val="20"/>
                <w:lang w:eastAsia="en-AU"/>
              </w:rPr>
              <w:t>a</w:t>
            </w:r>
            <w:r w:rsidRPr="00915F1A">
              <w:rPr>
                <w:rFonts w:asciiTheme="minorHAnsi" w:eastAsia="Times New Roman" w:hAnsiTheme="minorHAnsi" w:cstheme="minorHAnsi"/>
                <w:szCs w:val="20"/>
                <w:lang w:eastAsia="en-AU"/>
              </w:rPr>
              <w:t>sphalt</w:t>
            </w:r>
          </w:p>
          <w:p w14:paraId="09264A0B" w14:textId="33C2445B" w:rsidR="00F67ACD" w:rsidRPr="00915F1A" w:rsidRDefault="00657890"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592" w:type="dxa"/>
            <w:noWrap/>
            <w:vAlign w:val="center"/>
            <w:hideMark/>
          </w:tcPr>
          <w:p w14:paraId="7C4AA203" w14:textId="323801F6" w:rsidR="00657890" w:rsidRPr="00915F1A" w:rsidRDefault="00F67ACD" w:rsidP="00915F1A">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 xml:space="preserve">Recovered </w:t>
            </w:r>
            <w:r w:rsidR="004A1001" w:rsidRPr="00915F1A">
              <w:rPr>
                <w:rFonts w:asciiTheme="minorHAnsi" w:eastAsia="Times New Roman" w:hAnsiTheme="minorHAnsi" w:cstheme="minorHAnsi"/>
                <w:szCs w:val="20"/>
                <w:lang w:eastAsia="en-AU"/>
              </w:rPr>
              <w:t>p</w:t>
            </w:r>
            <w:r w:rsidRPr="00915F1A">
              <w:rPr>
                <w:rFonts w:asciiTheme="minorHAnsi" w:eastAsia="Times New Roman" w:hAnsiTheme="minorHAnsi" w:cstheme="minorHAnsi"/>
                <w:szCs w:val="20"/>
                <w:lang w:eastAsia="en-AU"/>
              </w:rPr>
              <w:t>avement</w:t>
            </w:r>
          </w:p>
          <w:p w14:paraId="1CF32E49" w14:textId="56365875" w:rsidR="00F67ACD" w:rsidRPr="00915F1A" w:rsidRDefault="00657890" w:rsidP="00915F1A">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r>
      <w:tr w:rsidR="00B83D4B" w:rsidRPr="00A653A9" w14:paraId="7164471A"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0F94C720"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MACD</w:t>
            </w:r>
          </w:p>
        </w:tc>
        <w:tc>
          <w:tcPr>
            <w:tcW w:w="1428" w:type="dxa"/>
            <w:noWrap/>
            <w:vAlign w:val="center"/>
            <w:hideMark/>
          </w:tcPr>
          <w:p w14:paraId="59A7C946"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14E17A8B" w14:textId="00D889D6"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2,000 </w:t>
            </w:r>
          </w:p>
        </w:tc>
        <w:tc>
          <w:tcPr>
            <w:tcW w:w="1592" w:type="dxa"/>
            <w:noWrap/>
            <w:vAlign w:val="center"/>
            <w:hideMark/>
          </w:tcPr>
          <w:p w14:paraId="2926E07E" w14:textId="2FE9F525"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14,850 </w:t>
            </w:r>
          </w:p>
        </w:tc>
        <w:tc>
          <w:tcPr>
            <w:tcW w:w="1592" w:type="dxa"/>
            <w:noWrap/>
            <w:vAlign w:val="center"/>
            <w:hideMark/>
          </w:tcPr>
          <w:p w14:paraId="537F0BE0"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4BF782DD" w14:textId="08F62134"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20,460 </w:t>
            </w:r>
          </w:p>
        </w:tc>
      </w:tr>
      <w:tr w:rsidR="00231209" w:rsidRPr="00A653A9" w14:paraId="73303275"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2F08A316"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METD</w:t>
            </w:r>
          </w:p>
        </w:tc>
        <w:tc>
          <w:tcPr>
            <w:tcW w:w="1428" w:type="dxa"/>
            <w:noWrap/>
            <w:vAlign w:val="center"/>
            <w:hideMark/>
          </w:tcPr>
          <w:p w14:paraId="79655988"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4028AEBE"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592" w:type="dxa"/>
            <w:noWrap/>
            <w:vAlign w:val="center"/>
            <w:hideMark/>
          </w:tcPr>
          <w:p w14:paraId="73C47E12"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592" w:type="dxa"/>
            <w:noWrap/>
            <w:vAlign w:val="center"/>
            <w:hideMark/>
          </w:tcPr>
          <w:p w14:paraId="54256A94" w14:textId="54A0E223"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4,319 </w:t>
            </w:r>
          </w:p>
        </w:tc>
        <w:tc>
          <w:tcPr>
            <w:tcW w:w="1592" w:type="dxa"/>
            <w:noWrap/>
            <w:vAlign w:val="center"/>
            <w:hideMark/>
          </w:tcPr>
          <w:p w14:paraId="3A769B4A"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B83D4B" w:rsidRPr="00A653A9" w14:paraId="109F321A"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1B0CA4C6"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NCHD</w:t>
            </w:r>
          </w:p>
        </w:tc>
        <w:tc>
          <w:tcPr>
            <w:tcW w:w="1428" w:type="dxa"/>
            <w:noWrap/>
            <w:vAlign w:val="center"/>
            <w:hideMark/>
          </w:tcPr>
          <w:p w14:paraId="4F19F38E" w14:textId="2323BB26"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4,432 </w:t>
            </w:r>
          </w:p>
        </w:tc>
        <w:tc>
          <w:tcPr>
            <w:tcW w:w="1592" w:type="dxa"/>
            <w:noWrap/>
            <w:vAlign w:val="center"/>
            <w:hideMark/>
          </w:tcPr>
          <w:p w14:paraId="31A16E32"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190D4550"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592" w:type="dxa"/>
            <w:noWrap/>
            <w:vAlign w:val="center"/>
            <w:hideMark/>
          </w:tcPr>
          <w:p w14:paraId="2D28DD0A" w14:textId="0B5BF423"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9,500 </w:t>
            </w:r>
          </w:p>
        </w:tc>
        <w:tc>
          <w:tcPr>
            <w:tcW w:w="1592" w:type="dxa"/>
            <w:noWrap/>
            <w:vAlign w:val="center"/>
            <w:hideMark/>
          </w:tcPr>
          <w:p w14:paraId="13B48D58"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231209" w:rsidRPr="00A653A9" w14:paraId="0876E78A"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651CDB6"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SCHD</w:t>
            </w:r>
          </w:p>
        </w:tc>
        <w:tc>
          <w:tcPr>
            <w:tcW w:w="1428" w:type="dxa"/>
            <w:noWrap/>
            <w:vAlign w:val="center"/>
            <w:hideMark/>
          </w:tcPr>
          <w:p w14:paraId="4B4D96C8"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7A9E646C"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592" w:type="dxa"/>
            <w:noWrap/>
            <w:vAlign w:val="center"/>
            <w:hideMark/>
          </w:tcPr>
          <w:p w14:paraId="297F8769" w14:textId="112C5DB2"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1,760 </w:t>
            </w:r>
          </w:p>
        </w:tc>
        <w:tc>
          <w:tcPr>
            <w:tcW w:w="1592" w:type="dxa"/>
            <w:noWrap/>
            <w:vAlign w:val="center"/>
            <w:hideMark/>
          </w:tcPr>
          <w:p w14:paraId="1C7A8A82" w14:textId="0C664DD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829 </w:t>
            </w:r>
          </w:p>
        </w:tc>
        <w:tc>
          <w:tcPr>
            <w:tcW w:w="1592" w:type="dxa"/>
            <w:noWrap/>
            <w:vAlign w:val="center"/>
            <w:hideMark/>
          </w:tcPr>
          <w:p w14:paraId="24205C05"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B83D4B" w:rsidRPr="00A653A9" w14:paraId="23D4F12D"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49D43B1"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WBYD</w:t>
            </w:r>
          </w:p>
        </w:tc>
        <w:tc>
          <w:tcPr>
            <w:tcW w:w="1428" w:type="dxa"/>
            <w:noWrap/>
            <w:vAlign w:val="center"/>
            <w:hideMark/>
          </w:tcPr>
          <w:p w14:paraId="303ABDBC"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588DA65E"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592" w:type="dxa"/>
            <w:noWrap/>
            <w:vAlign w:val="center"/>
            <w:hideMark/>
          </w:tcPr>
          <w:p w14:paraId="4D345284" w14:textId="123E5CFA"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8,507 </w:t>
            </w:r>
          </w:p>
        </w:tc>
        <w:tc>
          <w:tcPr>
            <w:tcW w:w="1592" w:type="dxa"/>
            <w:noWrap/>
            <w:vAlign w:val="center"/>
            <w:hideMark/>
          </w:tcPr>
          <w:p w14:paraId="6B4E8125"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592" w:type="dxa"/>
            <w:noWrap/>
            <w:vAlign w:val="center"/>
            <w:hideMark/>
          </w:tcPr>
          <w:p w14:paraId="3DBD578F" w14:textId="77777777"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r>
      <w:tr w:rsidR="00F07F3B" w:rsidRPr="00A653A9" w14:paraId="0724CF37" w14:textId="77777777" w:rsidTr="00945366">
        <w:trPr>
          <w:trHeight w:val="397"/>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3B35183A" w14:textId="77777777" w:rsidR="00F67ACD" w:rsidRPr="00915F1A" w:rsidRDefault="00F67ACD" w:rsidP="00915F1A">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Total</w:t>
            </w:r>
          </w:p>
        </w:tc>
        <w:tc>
          <w:tcPr>
            <w:tcW w:w="1428" w:type="dxa"/>
            <w:noWrap/>
            <w:vAlign w:val="center"/>
            <w:hideMark/>
          </w:tcPr>
          <w:p w14:paraId="7EEF2A7B" w14:textId="6B04452D"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4,432 </w:t>
            </w:r>
          </w:p>
        </w:tc>
        <w:tc>
          <w:tcPr>
            <w:tcW w:w="1592" w:type="dxa"/>
            <w:noWrap/>
            <w:vAlign w:val="center"/>
            <w:hideMark/>
          </w:tcPr>
          <w:p w14:paraId="383DA07A" w14:textId="60BA15EA"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2,000 </w:t>
            </w:r>
          </w:p>
        </w:tc>
        <w:tc>
          <w:tcPr>
            <w:tcW w:w="1592" w:type="dxa"/>
            <w:noWrap/>
            <w:vAlign w:val="center"/>
            <w:hideMark/>
          </w:tcPr>
          <w:p w14:paraId="2F424276" w14:textId="36548BA0"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25,117 </w:t>
            </w:r>
          </w:p>
        </w:tc>
        <w:tc>
          <w:tcPr>
            <w:tcW w:w="1592" w:type="dxa"/>
            <w:noWrap/>
            <w:vAlign w:val="center"/>
            <w:hideMark/>
          </w:tcPr>
          <w:p w14:paraId="1BFC700D" w14:textId="52173A46"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14,648 </w:t>
            </w:r>
          </w:p>
        </w:tc>
        <w:tc>
          <w:tcPr>
            <w:tcW w:w="1592" w:type="dxa"/>
            <w:noWrap/>
            <w:vAlign w:val="center"/>
            <w:hideMark/>
          </w:tcPr>
          <w:p w14:paraId="3E636BA1" w14:textId="063DB9A8" w:rsidR="00F67ACD" w:rsidRPr="00915F1A" w:rsidRDefault="00F67ACD" w:rsidP="00915F1A">
            <w:pPr>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915F1A">
              <w:rPr>
                <w:rFonts w:asciiTheme="minorHAnsi" w:eastAsia="Times New Roman" w:hAnsiTheme="minorHAnsi" w:cstheme="minorHAnsi"/>
                <w:color w:val="000000"/>
                <w:szCs w:val="20"/>
                <w:lang w:eastAsia="en-AU"/>
              </w:rPr>
              <w:t xml:space="preserve">20,460 </w:t>
            </w:r>
          </w:p>
        </w:tc>
      </w:tr>
    </w:tbl>
    <w:p w14:paraId="634CA46A" w14:textId="77777777" w:rsidR="00F67ACD" w:rsidRPr="00D36900" w:rsidRDefault="00F67ACD" w:rsidP="00D369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4622"/>
        <w:gridCol w:w="4652"/>
      </w:tblGrid>
      <w:tr w:rsidR="00BE627A" w14:paraId="7FDF21F7" w14:textId="77777777" w:rsidTr="00F0576E">
        <w:trPr>
          <w:trHeight w:val="20"/>
        </w:trPr>
        <w:tc>
          <w:tcPr>
            <w:tcW w:w="9180" w:type="dxa"/>
            <w:gridSpan w:val="2"/>
            <w:shd w:val="clear" w:color="auto" w:fill="003C69"/>
          </w:tcPr>
          <w:p w14:paraId="3E3BA059" w14:textId="4CAD5972" w:rsidR="00BE627A" w:rsidRPr="00BE627A" w:rsidRDefault="00BE627A" w:rsidP="00BE627A">
            <w:pPr>
              <w:pStyle w:val="Heading2"/>
              <w:rPr>
                <w:color w:val="FFFFFF" w:themeColor="background1"/>
              </w:rPr>
            </w:pPr>
            <w:bookmarkStart w:id="24" w:name="_Toc145588824"/>
            <w:bookmarkStart w:id="25" w:name="_Toc145592672"/>
            <w:r>
              <w:br w:type="page"/>
            </w:r>
            <w:bookmarkStart w:id="26" w:name="_Toc147824136"/>
            <w:bookmarkEnd w:id="24"/>
            <w:bookmarkEnd w:id="25"/>
            <w:r w:rsidRPr="00BE627A">
              <w:rPr>
                <w:color w:val="FFFFFF" w:themeColor="background1"/>
              </w:rPr>
              <w:t>Case study 3: May Downs Road</w:t>
            </w:r>
            <w:r w:rsidR="004A1001">
              <w:rPr>
                <w:color w:val="FFFFFF" w:themeColor="background1"/>
              </w:rPr>
              <w:t>,</w:t>
            </w:r>
            <w:r w:rsidRPr="00BE627A">
              <w:rPr>
                <w:color w:val="FFFFFF" w:themeColor="background1"/>
              </w:rPr>
              <w:t xml:space="preserve"> </w:t>
            </w:r>
            <w:proofErr w:type="gramStart"/>
            <w:r w:rsidR="00FA046D">
              <w:rPr>
                <w:color w:val="FFFFFF" w:themeColor="background1"/>
              </w:rPr>
              <w:t>p</w:t>
            </w:r>
            <w:r w:rsidR="004A1001">
              <w:rPr>
                <w:color w:val="FFFFFF" w:themeColor="background1"/>
              </w:rPr>
              <w:t>ave</w:t>
            </w:r>
            <w:proofErr w:type="gramEnd"/>
            <w:r w:rsidR="004A1001">
              <w:rPr>
                <w:color w:val="FFFFFF" w:themeColor="background1"/>
              </w:rPr>
              <w:t xml:space="preserve"> and seal project</w:t>
            </w:r>
            <w:bookmarkEnd w:id="26"/>
          </w:p>
          <w:p w14:paraId="2055ACC2" w14:textId="3ABABFE4" w:rsidR="00BE627A" w:rsidRPr="004A1001" w:rsidRDefault="00BE627A" w:rsidP="00BE627A">
            <w:pPr>
              <w:spacing w:after="120"/>
              <w:rPr>
                <w:sz w:val="24"/>
                <w:szCs w:val="24"/>
              </w:rPr>
            </w:pPr>
            <w:r w:rsidRPr="004A1001">
              <w:rPr>
                <w:sz w:val="24"/>
                <w:szCs w:val="24"/>
              </w:rPr>
              <w:t>The May Downs Road</w:t>
            </w:r>
            <w:r w:rsidR="004A1001">
              <w:rPr>
                <w:sz w:val="24"/>
                <w:szCs w:val="24"/>
              </w:rPr>
              <w:t xml:space="preserve">, pave and seal </w:t>
            </w:r>
            <w:r w:rsidRPr="004A1001">
              <w:rPr>
                <w:sz w:val="24"/>
                <w:szCs w:val="24"/>
              </w:rPr>
              <w:t xml:space="preserve">project undertaken in Central Queensland Region </w:t>
            </w:r>
            <w:r w:rsidR="00435F2D">
              <w:rPr>
                <w:sz w:val="24"/>
                <w:szCs w:val="24"/>
              </w:rPr>
              <w:t>incorporated an</w:t>
            </w:r>
            <w:r w:rsidRPr="004A1001">
              <w:rPr>
                <w:sz w:val="24"/>
                <w:szCs w:val="24"/>
              </w:rPr>
              <w:t xml:space="preserve"> alternative</w:t>
            </w:r>
            <w:r w:rsidR="00435F2D">
              <w:rPr>
                <w:sz w:val="24"/>
                <w:szCs w:val="24"/>
              </w:rPr>
              <w:t xml:space="preserve"> pavement</w:t>
            </w:r>
            <w:r w:rsidRPr="004A1001">
              <w:rPr>
                <w:sz w:val="24"/>
                <w:szCs w:val="24"/>
              </w:rPr>
              <w:t xml:space="preserve"> design </w:t>
            </w:r>
            <w:r w:rsidR="00435F2D">
              <w:rPr>
                <w:sz w:val="24"/>
                <w:szCs w:val="24"/>
              </w:rPr>
              <w:t>developed in consultation with the Department of Transport and Main Roads,</w:t>
            </w:r>
            <w:r w:rsidRPr="004A1001">
              <w:rPr>
                <w:sz w:val="24"/>
                <w:szCs w:val="24"/>
              </w:rPr>
              <w:t xml:space="preserve"> Cooper McCullough Group</w:t>
            </w:r>
            <w:r w:rsidR="00435F2D">
              <w:rPr>
                <w:sz w:val="24"/>
                <w:szCs w:val="24"/>
              </w:rPr>
              <w:t>,</w:t>
            </w:r>
            <w:r w:rsidRPr="004A1001">
              <w:rPr>
                <w:sz w:val="24"/>
                <w:szCs w:val="24"/>
              </w:rPr>
              <w:t xml:space="preserve"> Isaac Regional Council and GBA Consulting Engineers. The project commenced in August 2022 and was completed in April 2023.</w:t>
            </w:r>
          </w:p>
          <w:p w14:paraId="2555AC15" w14:textId="4B7A85E5" w:rsidR="00BE627A" w:rsidRPr="004A1001" w:rsidRDefault="00BE627A" w:rsidP="00BE627A">
            <w:pPr>
              <w:spacing w:after="120"/>
              <w:rPr>
                <w:sz w:val="24"/>
                <w:szCs w:val="24"/>
              </w:rPr>
            </w:pPr>
            <w:r w:rsidRPr="004A1001">
              <w:rPr>
                <w:sz w:val="24"/>
                <w:szCs w:val="24"/>
              </w:rPr>
              <w:t xml:space="preserve">The </w:t>
            </w:r>
            <w:r w:rsidR="00435F2D">
              <w:rPr>
                <w:sz w:val="24"/>
                <w:szCs w:val="24"/>
              </w:rPr>
              <w:t xml:space="preserve">revised pavement design and </w:t>
            </w:r>
            <w:r w:rsidRPr="004A1001">
              <w:rPr>
                <w:sz w:val="24"/>
                <w:szCs w:val="24"/>
              </w:rPr>
              <w:t xml:space="preserve">construction methodology </w:t>
            </w:r>
            <w:r w:rsidR="00435F2D">
              <w:rPr>
                <w:sz w:val="24"/>
                <w:szCs w:val="24"/>
              </w:rPr>
              <w:t xml:space="preserve">included </w:t>
            </w:r>
            <w:r w:rsidRPr="004A1001">
              <w:rPr>
                <w:sz w:val="24"/>
                <w:szCs w:val="24"/>
              </w:rPr>
              <w:t xml:space="preserve">a combination of materials </w:t>
            </w:r>
            <w:r w:rsidR="00435F2D">
              <w:rPr>
                <w:sz w:val="24"/>
                <w:szCs w:val="24"/>
              </w:rPr>
              <w:t>such as in-situ materials</w:t>
            </w:r>
            <w:r w:rsidRPr="004A1001">
              <w:rPr>
                <w:sz w:val="24"/>
                <w:szCs w:val="24"/>
              </w:rPr>
              <w:t>, quarried</w:t>
            </w:r>
            <w:r w:rsidR="00435F2D">
              <w:rPr>
                <w:sz w:val="24"/>
                <w:szCs w:val="24"/>
              </w:rPr>
              <w:t xml:space="preserve"> products</w:t>
            </w:r>
            <w:r w:rsidRPr="004A1001">
              <w:rPr>
                <w:sz w:val="24"/>
                <w:szCs w:val="24"/>
              </w:rPr>
              <w:t>, and recycled sources which in turn supplied the project with environmental and commercial savings while still conforming to MRTS Quality System Requirements and other Technical Specifications.</w:t>
            </w:r>
          </w:p>
          <w:p w14:paraId="1DAE773B" w14:textId="11822153" w:rsidR="00BE627A" w:rsidRDefault="00BE627A" w:rsidP="00BE627A">
            <w:pPr>
              <w:spacing w:after="120"/>
              <w:rPr>
                <w:sz w:val="24"/>
                <w:szCs w:val="24"/>
              </w:rPr>
            </w:pPr>
            <w:r w:rsidRPr="004A1001">
              <w:rPr>
                <w:sz w:val="24"/>
                <w:szCs w:val="24"/>
              </w:rPr>
              <w:t>The project utilised 20,460T of recovered pavement, 14,850T of in-situ materials, and 2000T of crushed concrete.</w:t>
            </w:r>
          </w:p>
          <w:p w14:paraId="5CD0E63F" w14:textId="77777777" w:rsidR="004A1001" w:rsidRDefault="004A1001" w:rsidP="00BE627A">
            <w:pPr>
              <w:spacing w:after="120"/>
              <w:rPr>
                <w:sz w:val="24"/>
                <w:szCs w:val="24"/>
              </w:rPr>
            </w:pPr>
            <w:r>
              <w:rPr>
                <w:sz w:val="24"/>
                <w:szCs w:val="24"/>
              </w:rPr>
              <w:t xml:space="preserve">For more information visit: </w:t>
            </w:r>
          </w:p>
          <w:p w14:paraId="48452772" w14:textId="6427C17A" w:rsidR="004A1001" w:rsidRPr="00FC27D9" w:rsidRDefault="00000000" w:rsidP="00BE627A">
            <w:pPr>
              <w:spacing w:after="120"/>
              <w:rPr>
                <w:color w:val="FFFFFF" w:themeColor="background1"/>
                <w:sz w:val="24"/>
                <w:szCs w:val="24"/>
              </w:rPr>
            </w:pPr>
            <w:hyperlink r:id="rId37" w:history="1">
              <w:r w:rsidR="004A1001" w:rsidRPr="00FC27D9">
                <w:rPr>
                  <w:rStyle w:val="Hyperlink"/>
                  <w:color w:val="FFFFFF" w:themeColor="background1"/>
                  <w:sz w:val="24"/>
                  <w:szCs w:val="24"/>
                </w:rPr>
                <w:t>www.tmr.qld.gov.au/projects/may-downs-road-pave-and-seal</w:t>
              </w:r>
            </w:hyperlink>
          </w:p>
          <w:p w14:paraId="21C43983" w14:textId="5D10456D" w:rsidR="00BE627A" w:rsidRPr="00BE627A" w:rsidRDefault="00BE627A" w:rsidP="00BE627A">
            <w:pPr>
              <w:spacing w:after="120"/>
              <w:rPr>
                <w:i/>
                <w:iCs/>
              </w:rPr>
            </w:pPr>
            <w:r w:rsidRPr="004A1001">
              <w:rPr>
                <w:i/>
                <w:iCs/>
                <w:sz w:val="24"/>
                <w:szCs w:val="24"/>
              </w:rPr>
              <w:t>Images (</w:t>
            </w:r>
            <w:r w:rsidR="00583AFD" w:rsidRPr="004A1001">
              <w:rPr>
                <w:i/>
                <w:iCs/>
                <w:sz w:val="24"/>
                <w:szCs w:val="24"/>
              </w:rPr>
              <w:t>left</w:t>
            </w:r>
            <w:r w:rsidRPr="004A1001">
              <w:rPr>
                <w:i/>
                <w:iCs/>
                <w:sz w:val="24"/>
                <w:szCs w:val="24"/>
              </w:rPr>
              <w:t xml:space="preserve"> to </w:t>
            </w:r>
            <w:r w:rsidR="00583AFD" w:rsidRPr="004A1001">
              <w:rPr>
                <w:i/>
                <w:iCs/>
                <w:sz w:val="24"/>
                <w:szCs w:val="24"/>
              </w:rPr>
              <w:t>right</w:t>
            </w:r>
            <w:r w:rsidRPr="004A1001">
              <w:rPr>
                <w:i/>
                <w:iCs/>
                <w:sz w:val="24"/>
                <w:szCs w:val="24"/>
              </w:rPr>
              <w:t>): Placement of subgrade material on the May Downs Road</w:t>
            </w:r>
            <w:r w:rsidR="004A1001">
              <w:rPr>
                <w:i/>
                <w:iCs/>
                <w:sz w:val="24"/>
                <w:szCs w:val="24"/>
              </w:rPr>
              <w:t xml:space="preserve">, pave and seal </w:t>
            </w:r>
            <w:r w:rsidRPr="004A1001">
              <w:rPr>
                <w:i/>
                <w:iCs/>
                <w:sz w:val="24"/>
                <w:szCs w:val="24"/>
              </w:rPr>
              <w:t xml:space="preserve">project and the completed project. © </w:t>
            </w:r>
            <w:r w:rsidR="00E27BD6">
              <w:rPr>
                <w:i/>
                <w:iCs/>
                <w:sz w:val="24"/>
                <w:szCs w:val="24"/>
              </w:rPr>
              <w:t>Cooper McCullough Group</w:t>
            </w:r>
            <w:r w:rsidRPr="004A1001">
              <w:rPr>
                <w:i/>
                <w:iCs/>
                <w:sz w:val="24"/>
                <w:szCs w:val="24"/>
              </w:rPr>
              <w:t>.</w:t>
            </w:r>
          </w:p>
        </w:tc>
      </w:tr>
      <w:tr w:rsidR="00BE627A" w14:paraId="4983867C" w14:textId="77777777" w:rsidTr="00F0576E">
        <w:trPr>
          <w:trHeight w:val="20"/>
        </w:trPr>
        <w:tc>
          <w:tcPr>
            <w:tcW w:w="4590" w:type="dxa"/>
            <w:shd w:val="clear" w:color="auto" w:fill="auto"/>
            <w:tcMar>
              <w:left w:w="0" w:type="dxa"/>
              <w:right w:w="0" w:type="dxa"/>
            </w:tcMar>
          </w:tcPr>
          <w:p w14:paraId="2E26F698" w14:textId="293F6200" w:rsidR="00BE627A" w:rsidRDefault="00BE627A" w:rsidP="00BE627A">
            <w:r>
              <w:rPr>
                <w:noProof/>
              </w:rPr>
              <w:drawing>
                <wp:inline distT="0" distB="0" distL="0" distR="0" wp14:anchorId="7F9F6FDD" wp14:editId="4437F3D5">
                  <wp:extent cx="2910832" cy="1637343"/>
                  <wp:effectExtent l="0" t="0" r="4445" b="1270"/>
                  <wp:docPr id="53" name="Picture 53" descr="Placement of subgrade material using Wirtigen wr2500sk stabilizer which mixed won material with existing bas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lacement of subgrade material using Wirtigen wr2500sk stabilizer which mixed won material with existing base material."/>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913668" cy="163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shd w:val="clear" w:color="auto" w:fill="auto"/>
            <w:tcMar>
              <w:left w:w="0" w:type="dxa"/>
              <w:right w:w="0" w:type="dxa"/>
            </w:tcMar>
          </w:tcPr>
          <w:p w14:paraId="27CEF46B" w14:textId="3401D9B6" w:rsidR="00BE627A" w:rsidRDefault="00BE627A" w:rsidP="00BE627A">
            <w:r>
              <w:rPr>
                <w:noProof/>
              </w:rPr>
              <w:drawing>
                <wp:inline distT="0" distB="0" distL="0" distR="0" wp14:anchorId="5093F800" wp14:editId="4553AF2B">
                  <wp:extent cx="2954215" cy="1636990"/>
                  <wp:effectExtent l="0" t="0" r="0" b="1905"/>
                  <wp:docPr id="3" name="Picture 3" descr="Completed sealed road with revegetated table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leted sealed road with revegetated table drains."/>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rot="10800000">
                            <a:off x="0" y="0"/>
                            <a:ext cx="2963276" cy="1642011"/>
                          </a:xfrm>
                          <a:prstGeom prst="rect">
                            <a:avLst/>
                          </a:prstGeom>
                          <a:ln>
                            <a:noFill/>
                          </a:ln>
                          <a:extLst>
                            <a:ext uri="{53640926-AAD7-44D8-BBD7-CCE9431645EC}">
                              <a14:shadowObscured xmlns:a14="http://schemas.microsoft.com/office/drawing/2010/main"/>
                            </a:ext>
                          </a:extLst>
                        </pic:spPr>
                      </pic:pic>
                    </a:graphicData>
                  </a:graphic>
                </wp:inline>
              </w:drawing>
            </w:r>
          </w:p>
        </w:tc>
      </w:tr>
      <w:tr w:rsidR="00BE627A" w14:paraId="450E7DAD" w14:textId="77777777" w:rsidTr="00F0576E">
        <w:trPr>
          <w:trHeight w:val="20"/>
        </w:trPr>
        <w:tc>
          <w:tcPr>
            <w:tcW w:w="9180" w:type="dxa"/>
            <w:gridSpan w:val="2"/>
            <w:shd w:val="clear" w:color="auto" w:fill="003C69"/>
          </w:tcPr>
          <w:p w14:paraId="1F6FDCA3" w14:textId="4BAE01BE" w:rsidR="00BE627A" w:rsidRPr="00FA1B5B" w:rsidRDefault="00BE627A" w:rsidP="00FA1B5B">
            <w:pPr>
              <w:pStyle w:val="Heading2"/>
              <w:rPr>
                <w:color w:val="FFFFFF" w:themeColor="background1"/>
              </w:rPr>
            </w:pPr>
            <w:bookmarkStart w:id="27" w:name="_Toc145588825"/>
            <w:bookmarkStart w:id="28" w:name="_Toc145592673"/>
            <w:bookmarkStart w:id="29" w:name="_Toc147824137"/>
            <w:r w:rsidRPr="00FA1B5B">
              <w:rPr>
                <w:color w:val="FFFFFF" w:themeColor="background1"/>
              </w:rPr>
              <w:lastRenderedPageBreak/>
              <w:t>Case study 4</w:t>
            </w:r>
            <w:bookmarkEnd w:id="27"/>
            <w:bookmarkEnd w:id="28"/>
            <w:r w:rsidRPr="00FA1B5B">
              <w:rPr>
                <w:color w:val="FFFFFF" w:themeColor="background1"/>
              </w:rPr>
              <w:t xml:space="preserve">: </w:t>
            </w:r>
            <w:r w:rsidR="004A1001">
              <w:rPr>
                <w:color w:val="FFFFFF" w:themeColor="background1"/>
              </w:rPr>
              <w:t>‘</w:t>
            </w:r>
            <w:r w:rsidRPr="00FA1B5B">
              <w:rPr>
                <w:color w:val="FFFFFF" w:themeColor="background1"/>
              </w:rPr>
              <w:t>Big Jack’ Sarawak Avenue and Currumbin Creek Road bridges</w:t>
            </w:r>
            <w:bookmarkEnd w:id="29"/>
          </w:p>
          <w:p w14:paraId="6873D304" w14:textId="77777777" w:rsidR="00BE627A" w:rsidRPr="00C22657" w:rsidRDefault="00BE627A" w:rsidP="00BE627A">
            <w:pPr>
              <w:spacing w:after="120"/>
              <w:rPr>
                <w:sz w:val="24"/>
                <w:szCs w:val="24"/>
              </w:rPr>
            </w:pPr>
            <w:r w:rsidRPr="00C22657">
              <w:rPr>
                <w:sz w:val="24"/>
                <w:szCs w:val="24"/>
              </w:rPr>
              <w:t>There has also been a lot happening in our South Coast Region when it comes to recycling and reusing. 'Big Jack' – a specialist demolition machine – demolished the 270T Sarawak Avenue and Currumbin Creek Road bridges (that’s 570T in total!).</w:t>
            </w:r>
          </w:p>
          <w:p w14:paraId="6283392F" w14:textId="77777777" w:rsidR="00BE627A" w:rsidRPr="00C22657" w:rsidRDefault="00BE627A" w:rsidP="00BE627A">
            <w:pPr>
              <w:spacing w:after="120"/>
              <w:rPr>
                <w:sz w:val="24"/>
                <w:szCs w:val="24"/>
              </w:rPr>
            </w:pPr>
            <w:r w:rsidRPr="00C22657">
              <w:rPr>
                <w:sz w:val="24"/>
                <w:szCs w:val="24"/>
              </w:rPr>
              <w:t>The concrete from each bridge was crushed into smaller pieces to be used as a base course for future roads built throughout Queensland. Pay a thought when you’re next driving on a newly constructed road as you may just be driving over a bridge from the South Coast.</w:t>
            </w:r>
          </w:p>
          <w:p w14:paraId="5CBE13AC" w14:textId="434CD4B4" w:rsidR="00BE627A" w:rsidRDefault="00BE627A" w:rsidP="00BE627A">
            <w:pPr>
              <w:spacing w:after="120"/>
              <w:rPr>
                <w:sz w:val="24"/>
                <w:szCs w:val="24"/>
              </w:rPr>
            </w:pPr>
            <w:r w:rsidRPr="00C22657">
              <w:rPr>
                <w:sz w:val="24"/>
                <w:szCs w:val="24"/>
              </w:rPr>
              <w:t>This is proof that TMR is looking for many opportunities to recycle and will give a new life to old materials. The recently demolished Sarawak Avenue and Currumbin Creek Road bridges are just one example of how the department is reusing and recycling materials to provide benefits for many years to come.</w:t>
            </w:r>
          </w:p>
          <w:p w14:paraId="7588D774" w14:textId="7D7DE69B" w:rsidR="004A1001" w:rsidRDefault="004A1001" w:rsidP="00BE627A">
            <w:pPr>
              <w:spacing w:after="120"/>
              <w:rPr>
                <w:sz w:val="24"/>
                <w:szCs w:val="24"/>
              </w:rPr>
            </w:pPr>
            <w:r>
              <w:rPr>
                <w:sz w:val="24"/>
                <w:szCs w:val="24"/>
              </w:rPr>
              <w:t>For more information visit:</w:t>
            </w:r>
          </w:p>
          <w:p w14:paraId="6204D253" w14:textId="1584CC2E" w:rsidR="004A1001" w:rsidRPr="00FC27D9" w:rsidRDefault="00000000" w:rsidP="00BE627A">
            <w:pPr>
              <w:spacing w:after="120"/>
              <w:rPr>
                <w:color w:val="FFFFFF" w:themeColor="background1"/>
                <w:sz w:val="24"/>
                <w:szCs w:val="24"/>
                <w:u w:val="single"/>
              </w:rPr>
            </w:pPr>
            <w:hyperlink r:id="rId40" w:history="1">
              <w:r w:rsidR="00C22657" w:rsidRPr="00FC27D9">
                <w:rPr>
                  <w:rStyle w:val="Hyperlink"/>
                  <w:color w:val="FFFFFF" w:themeColor="background1"/>
                  <w:sz w:val="24"/>
                  <w:szCs w:val="24"/>
                </w:rPr>
                <w:t>www.tmr.qld.gov.au/projects/pacific-motorway-m1-palm-beach-nineteenth-avenue-to-tugun</w:t>
              </w:r>
            </w:hyperlink>
          </w:p>
          <w:p w14:paraId="20890EEE" w14:textId="19F5B22C" w:rsidR="00BE627A" w:rsidRPr="00126191" w:rsidRDefault="00BE627A" w:rsidP="00BE627A">
            <w:pPr>
              <w:spacing w:after="120"/>
              <w:rPr>
                <w:i/>
                <w:iCs/>
              </w:rPr>
            </w:pPr>
            <w:r w:rsidRPr="00C22657">
              <w:rPr>
                <w:i/>
                <w:iCs/>
                <w:sz w:val="24"/>
                <w:szCs w:val="24"/>
              </w:rPr>
              <w:t>Images (</w:t>
            </w:r>
            <w:r w:rsidR="007C13AC" w:rsidRPr="00C22657">
              <w:rPr>
                <w:i/>
                <w:iCs/>
                <w:sz w:val="24"/>
                <w:szCs w:val="24"/>
              </w:rPr>
              <w:t>left</w:t>
            </w:r>
            <w:r w:rsidRPr="00C22657">
              <w:rPr>
                <w:i/>
                <w:iCs/>
                <w:sz w:val="24"/>
                <w:szCs w:val="24"/>
              </w:rPr>
              <w:t xml:space="preserve"> to </w:t>
            </w:r>
            <w:r w:rsidR="007C13AC" w:rsidRPr="00C22657">
              <w:rPr>
                <w:i/>
                <w:iCs/>
                <w:sz w:val="24"/>
                <w:szCs w:val="24"/>
              </w:rPr>
              <w:t>right</w:t>
            </w:r>
            <w:r w:rsidRPr="00C22657">
              <w:rPr>
                <w:i/>
                <w:iCs/>
                <w:sz w:val="24"/>
                <w:szCs w:val="24"/>
              </w:rPr>
              <w:t>): ‘Big Jack’ demolishing the Currumbin Creek Road Bridge and an aerial view of ‘Big Jack’ having a</w:t>
            </w:r>
            <w:r w:rsidR="007C13AC" w:rsidRPr="00C22657">
              <w:rPr>
                <w:i/>
                <w:iCs/>
                <w:sz w:val="24"/>
                <w:szCs w:val="24"/>
              </w:rPr>
              <w:t xml:space="preserve"> </w:t>
            </w:r>
            <w:r w:rsidRPr="00C22657">
              <w:rPr>
                <w:i/>
                <w:iCs/>
                <w:sz w:val="24"/>
                <w:szCs w:val="24"/>
              </w:rPr>
              <w:t xml:space="preserve">rest on site during the demolition of the Sarawak Avenue Bridge. © </w:t>
            </w:r>
            <w:r w:rsidR="0074557B">
              <w:rPr>
                <w:i/>
                <w:iCs/>
                <w:sz w:val="24"/>
                <w:szCs w:val="24"/>
              </w:rPr>
              <w:t xml:space="preserve">The </w:t>
            </w:r>
            <w:r w:rsidRPr="00C22657">
              <w:rPr>
                <w:i/>
                <w:iCs/>
                <w:sz w:val="24"/>
                <w:szCs w:val="24"/>
              </w:rPr>
              <w:t>State of Queensland.</w:t>
            </w:r>
          </w:p>
        </w:tc>
      </w:tr>
      <w:tr w:rsidR="00BE627A" w14:paraId="7599B9A5" w14:textId="77777777" w:rsidTr="00950E8E">
        <w:trPr>
          <w:trHeight w:val="20"/>
        </w:trPr>
        <w:tc>
          <w:tcPr>
            <w:tcW w:w="4590" w:type="dxa"/>
            <w:shd w:val="clear" w:color="auto" w:fill="auto"/>
            <w:noWrap/>
            <w:tcMar>
              <w:left w:w="0" w:type="dxa"/>
              <w:right w:w="0" w:type="dxa"/>
            </w:tcMar>
          </w:tcPr>
          <w:p w14:paraId="57F83F0C" w14:textId="5B897BE3" w:rsidR="00BE627A" w:rsidRDefault="00BE627A" w:rsidP="00F456DC">
            <w:r>
              <w:rPr>
                <w:noProof/>
              </w:rPr>
              <w:drawing>
                <wp:inline distT="0" distB="0" distL="0" distR="0" wp14:anchorId="44629F49" wp14:editId="47DE878E">
                  <wp:extent cx="2935113" cy="1651000"/>
                  <wp:effectExtent l="0" t="0" r="0" b="6350"/>
                  <wp:docPr id="25" name="Picture 25" descr="A construction vehicles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nstruction vehicles on a road&#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944620" cy="1656348"/>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shd w:val="clear" w:color="auto" w:fill="auto"/>
            <w:noWrap/>
            <w:tcMar>
              <w:left w:w="0" w:type="dxa"/>
              <w:right w:w="0" w:type="dxa"/>
            </w:tcMar>
          </w:tcPr>
          <w:p w14:paraId="69978A18" w14:textId="5DB0C55B" w:rsidR="00BE627A" w:rsidRDefault="00BE627A" w:rsidP="00F456DC">
            <w:r>
              <w:rPr>
                <w:noProof/>
              </w:rPr>
              <w:drawing>
                <wp:inline distT="0" distB="0" distL="0" distR="0" wp14:anchorId="61901ED4" wp14:editId="15EB40E7">
                  <wp:extent cx="2949865" cy="1651000"/>
                  <wp:effectExtent l="0" t="0" r="3175" b="6350"/>
                  <wp:docPr id="70" name="Picture 70" descr="A construction site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nstruction site at night&#10;&#10;Description automatically generated"/>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960805" cy="16571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4969E1" w14:textId="01014038" w:rsidR="008D39B0" w:rsidRDefault="008D39B0" w:rsidP="00B27171">
      <w:pPr>
        <w:pStyle w:val="Heading1"/>
      </w:pPr>
      <w:bookmarkStart w:id="30" w:name="_Toc145588826"/>
      <w:bookmarkStart w:id="31" w:name="_Toc145592674"/>
      <w:bookmarkStart w:id="32" w:name="_Toc147824138"/>
      <w:r>
        <w:t>W2R Strategy implementation</w:t>
      </w:r>
      <w:bookmarkEnd w:id="30"/>
      <w:bookmarkEnd w:id="31"/>
      <w:bookmarkEnd w:id="32"/>
    </w:p>
    <w:p w14:paraId="4498C82D" w14:textId="77777777" w:rsidR="00126191" w:rsidRPr="00C22657" w:rsidRDefault="00126191" w:rsidP="00126191">
      <w:pPr>
        <w:rPr>
          <w:sz w:val="24"/>
          <w:szCs w:val="24"/>
        </w:rPr>
      </w:pPr>
      <w:r w:rsidRPr="00C22657">
        <w:rPr>
          <w:sz w:val="24"/>
          <w:szCs w:val="24"/>
        </w:rPr>
        <w:t xml:space="preserve">TMR's current </w:t>
      </w:r>
      <w:r w:rsidRPr="00C22657">
        <w:rPr>
          <w:i/>
          <w:iCs/>
          <w:sz w:val="24"/>
          <w:szCs w:val="24"/>
        </w:rPr>
        <w:t>Waste Reduction and Recycling Plan</w:t>
      </w:r>
      <w:r w:rsidRPr="00C22657">
        <w:rPr>
          <w:sz w:val="24"/>
          <w:szCs w:val="24"/>
        </w:rPr>
        <w:t xml:space="preserve">, the </w:t>
      </w:r>
      <w:r w:rsidRPr="00C22657">
        <w:rPr>
          <w:i/>
          <w:iCs/>
          <w:sz w:val="24"/>
          <w:szCs w:val="24"/>
        </w:rPr>
        <w:t>Waste 2 Resource (W2R) Strategy</w:t>
      </w:r>
      <w:r w:rsidRPr="00C22657">
        <w:rPr>
          <w:sz w:val="24"/>
          <w:szCs w:val="24"/>
        </w:rPr>
        <w:t xml:space="preserve">, was published in 2022 and sets out the strategy for TMR to reduce waste and monitor waste generation and diversion from landfill. Previous actions to support the strategy include the publication of the TMR waste 2 resource calculator, and a requirement for tenderers on transport infrastructure contracts to submit the Tender Schedule S12 - </w:t>
      </w:r>
      <w:r w:rsidRPr="00C22657">
        <w:rPr>
          <w:i/>
          <w:iCs/>
          <w:sz w:val="24"/>
          <w:szCs w:val="24"/>
        </w:rPr>
        <w:t>Waste to Resource Plan</w:t>
      </w:r>
      <w:r w:rsidRPr="00C22657">
        <w:rPr>
          <w:sz w:val="24"/>
          <w:szCs w:val="24"/>
        </w:rPr>
        <w:t>.</w:t>
      </w:r>
    </w:p>
    <w:p w14:paraId="12F91669" w14:textId="24D591F6" w:rsidR="00126191" w:rsidRPr="00C22657" w:rsidRDefault="00126191" w:rsidP="00126191">
      <w:pPr>
        <w:rPr>
          <w:sz w:val="24"/>
          <w:szCs w:val="24"/>
        </w:rPr>
      </w:pPr>
      <w:r w:rsidRPr="00C22657">
        <w:rPr>
          <w:sz w:val="24"/>
          <w:szCs w:val="24"/>
        </w:rPr>
        <w:t>Actions during 2022–2023 have been focused on supporting the implementation of these previous actions and monitoring the results. Consistent with previous years, the main source of waste from TMR operations was contract waste from infrastructure projects. A process for internal reporting on the Contract Waste data submission was implemented during 2022–2023 and this has resulted in an increase in the number of transport infrastructure contracts contributing data to the annual status report.</w:t>
      </w:r>
      <w:bookmarkStart w:id="33" w:name="_Toc145588827"/>
      <w:bookmarkStart w:id="34" w:name="_Toc1455926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81"/>
        <w:gridCol w:w="4491"/>
      </w:tblGrid>
      <w:tr w:rsidR="00470E58" w14:paraId="039CA8DF" w14:textId="77777777" w:rsidTr="00470E58">
        <w:tc>
          <w:tcPr>
            <w:tcW w:w="4581" w:type="dxa"/>
          </w:tcPr>
          <w:p w14:paraId="19472451" w14:textId="77777777" w:rsidR="00470E58" w:rsidRPr="00C22657" w:rsidRDefault="00470E58" w:rsidP="00470E58">
            <w:pPr>
              <w:pStyle w:val="NoSpacing"/>
              <w:jc w:val="center"/>
              <w:rPr>
                <w:color w:val="002060"/>
              </w:rPr>
            </w:pPr>
            <w:r w:rsidRPr="00C22657">
              <w:rPr>
                <w:noProof/>
                <w:color w:val="002060"/>
              </w:rPr>
              <w:lastRenderedPageBreak/>
              <w:drawing>
                <wp:inline distT="0" distB="0" distL="0" distR="0" wp14:anchorId="767408A1" wp14:editId="23AE784A">
                  <wp:extent cx="2827665" cy="871200"/>
                  <wp:effectExtent l="0" t="0" r="0" b="5715"/>
                  <wp:docPr id="68" name="Picture 68" descr="90% of waste generated in 2022-2023 is from infrastructure project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90% of waste generated in 2022-2023 is from infrastructure project contracts."/>
                          <pic:cNvPicPr/>
                        </pic:nvPicPr>
                        <pic:blipFill>
                          <a:blip r:embed="rId43">
                            <a:extLst>
                              <a:ext uri="{28A0092B-C50C-407E-A947-70E740481C1C}">
                                <a14:useLocalDpi xmlns:a14="http://schemas.microsoft.com/office/drawing/2010/main" val="0"/>
                              </a:ext>
                            </a:extLst>
                          </a:blip>
                          <a:stretch>
                            <a:fillRect/>
                          </a:stretch>
                        </pic:blipFill>
                        <pic:spPr>
                          <a:xfrm>
                            <a:off x="0" y="0"/>
                            <a:ext cx="2827665" cy="871200"/>
                          </a:xfrm>
                          <a:prstGeom prst="rect">
                            <a:avLst/>
                          </a:prstGeom>
                        </pic:spPr>
                      </pic:pic>
                    </a:graphicData>
                  </a:graphic>
                </wp:inline>
              </w:drawing>
            </w:r>
          </w:p>
          <w:p w14:paraId="75511037" w14:textId="77777777" w:rsidR="00470E58" w:rsidRPr="00C22657" w:rsidRDefault="00470E58" w:rsidP="00470E58">
            <w:pPr>
              <w:pStyle w:val="NoSpacing"/>
              <w:rPr>
                <w:color w:val="002060"/>
              </w:rPr>
            </w:pPr>
            <w:r w:rsidRPr="00C22657">
              <w:rPr>
                <w:noProof/>
                <w:color w:val="002060"/>
              </w:rPr>
              <w:drawing>
                <wp:inline distT="0" distB="0" distL="0" distR="0" wp14:anchorId="600ED311" wp14:editId="561A64E5">
                  <wp:extent cx="2872800" cy="2091600"/>
                  <wp:effectExtent l="0" t="0" r="3810" b="4445"/>
                  <wp:docPr id="36" name="Picture 36" descr="The data sources sorted in the order of waste generated are contract waste, RoadTek waste, litter and illegal dumping, MSQ War on Wrecks, TMR owned facilities and TMR secur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data sources sorted in the order of waste generated are contract waste, RoadTek waste, litter and illegal dumping, MSQ War on Wrecks, TMR owned facilities and TMR secure waste."/>
                          <pic:cNvPicPr/>
                        </pic:nvPicPr>
                        <pic:blipFill>
                          <a:blip r:embed="rId44">
                            <a:extLst>
                              <a:ext uri="{28A0092B-C50C-407E-A947-70E740481C1C}">
                                <a14:useLocalDpi xmlns:a14="http://schemas.microsoft.com/office/drawing/2010/main" val="0"/>
                              </a:ext>
                            </a:extLst>
                          </a:blip>
                          <a:stretch>
                            <a:fillRect/>
                          </a:stretch>
                        </pic:blipFill>
                        <pic:spPr>
                          <a:xfrm>
                            <a:off x="0" y="0"/>
                            <a:ext cx="2872800" cy="2091600"/>
                          </a:xfrm>
                          <a:prstGeom prst="rect">
                            <a:avLst/>
                          </a:prstGeom>
                          <a:ln>
                            <a:noFill/>
                          </a:ln>
                        </pic:spPr>
                      </pic:pic>
                    </a:graphicData>
                  </a:graphic>
                </wp:inline>
              </w:drawing>
            </w:r>
          </w:p>
          <w:p w14:paraId="14BC872D" w14:textId="1BCECCAB" w:rsidR="00470E58" w:rsidRPr="00A653A9" w:rsidRDefault="00470E58" w:rsidP="00A653A9">
            <w:pPr>
              <w:pStyle w:val="Caption"/>
            </w:pPr>
            <w:r w:rsidRPr="00A653A9">
              <w:t>Figure</w:t>
            </w:r>
            <w:r w:rsidR="007C13AC" w:rsidRPr="00A653A9">
              <w:t xml:space="preserve"> 1</w:t>
            </w:r>
            <w:r w:rsidR="00C22657" w:rsidRPr="00A653A9">
              <w:t>6</w:t>
            </w:r>
            <w:r w:rsidRPr="00A653A9">
              <w:t xml:space="preserve">: Data </w:t>
            </w:r>
            <w:r w:rsidR="005C603D" w:rsidRPr="00A653A9">
              <w:t>s</w:t>
            </w:r>
            <w:r w:rsidRPr="00A653A9">
              <w:t xml:space="preserve">ources for </w:t>
            </w:r>
            <w:r w:rsidR="00DA4CBB" w:rsidRPr="00A653A9">
              <w:t>a</w:t>
            </w:r>
            <w:r w:rsidRPr="00A653A9">
              <w:t xml:space="preserve">nnual </w:t>
            </w:r>
            <w:r w:rsidR="00DA4CBB" w:rsidRPr="00A653A9">
              <w:t>r</w:t>
            </w:r>
            <w:r w:rsidRPr="00A653A9">
              <w:t>eport</w:t>
            </w:r>
            <w:r w:rsidR="00C22657" w:rsidRPr="00A653A9">
              <w:t>.</w:t>
            </w:r>
          </w:p>
        </w:tc>
        <w:tc>
          <w:tcPr>
            <w:tcW w:w="4491" w:type="dxa"/>
          </w:tcPr>
          <w:p w14:paraId="1AEB632B" w14:textId="77777777" w:rsidR="00470E58" w:rsidRPr="00C22657" w:rsidRDefault="00470E58" w:rsidP="00470E58">
            <w:pPr>
              <w:pStyle w:val="NoSpacing"/>
              <w:jc w:val="center"/>
              <w:rPr>
                <w:color w:val="002060"/>
              </w:rPr>
            </w:pPr>
            <w:r w:rsidRPr="00C22657">
              <w:rPr>
                <w:noProof/>
                <w:color w:val="002060"/>
              </w:rPr>
              <w:drawing>
                <wp:inline distT="0" distB="0" distL="0" distR="0" wp14:anchorId="03D3F557" wp14:editId="0AB459FE">
                  <wp:extent cx="2793600" cy="860400"/>
                  <wp:effectExtent l="0" t="0" r="6985" b="0"/>
                  <wp:docPr id="69" name="Picture 69" descr="44 infrastructure contracts supplied waste data i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44 infrastructure contracts supplied waste data in 2022-2023"/>
                          <pic:cNvPicPr/>
                        </pic:nvPicPr>
                        <pic:blipFill>
                          <a:blip r:embed="rId45">
                            <a:extLst>
                              <a:ext uri="{28A0092B-C50C-407E-A947-70E740481C1C}">
                                <a14:useLocalDpi xmlns:a14="http://schemas.microsoft.com/office/drawing/2010/main" val="0"/>
                              </a:ext>
                            </a:extLst>
                          </a:blip>
                          <a:stretch>
                            <a:fillRect/>
                          </a:stretch>
                        </pic:blipFill>
                        <pic:spPr>
                          <a:xfrm>
                            <a:off x="0" y="0"/>
                            <a:ext cx="2793600" cy="860400"/>
                          </a:xfrm>
                          <a:prstGeom prst="rect">
                            <a:avLst/>
                          </a:prstGeom>
                        </pic:spPr>
                      </pic:pic>
                    </a:graphicData>
                  </a:graphic>
                </wp:inline>
              </w:drawing>
            </w:r>
          </w:p>
          <w:p w14:paraId="432387E8" w14:textId="7C436CC8" w:rsidR="00470E58" w:rsidRPr="00C22657" w:rsidRDefault="00470E58" w:rsidP="00470E58">
            <w:pPr>
              <w:pStyle w:val="NoSpacing"/>
              <w:keepNext/>
              <w:rPr>
                <w:color w:val="002060"/>
              </w:rPr>
            </w:pPr>
            <w:r w:rsidRPr="00C22657">
              <w:rPr>
                <w:noProof/>
                <w:color w:val="002060"/>
              </w:rPr>
              <w:drawing>
                <wp:inline distT="0" distB="0" distL="0" distR="0" wp14:anchorId="10E93711" wp14:editId="0DB6FA47">
                  <wp:extent cx="2826000" cy="2055600"/>
                  <wp:effectExtent l="0" t="0" r="0" b="1905"/>
                  <wp:docPr id="71" name="Picture 71" descr="The number of infrastructure contracts supplying waste data has increased in 2022-2023 compared to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number of infrastructure contracts supplying waste data has increased in 2022-2023 compared to 2021-2022."/>
                          <pic:cNvPicPr/>
                        </pic:nvPicPr>
                        <pic:blipFill>
                          <a:blip r:embed="rId46">
                            <a:extLst>
                              <a:ext uri="{28A0092B-C50C-407E-A947-70E740481C1C}">
                                <a14:useLocalDpi xmlns:a14="http://schemas.microsoft.com/office/drawing/2010/main" val="0"/>
                              </a:ext>
                            </a:extLst>
                          </a:blip>
                          <a:stretch>
                            <a:fillRect/>
                          </a:stretch>
                        </pic:blipFill>
                        <pic:spPr>
                          <a:xfrm>
                            <a:off x="0" y="0"/>
                            <a:ext cx="2826000" cy="2055600"/>
                          </a:xfrm>
                          <a:prstGeom prst="rect">
                            <a:avLst/>
                          </a:prstGeom>
                          <a:ln>
                            <a:noFill/>
                          </a:ln>
                        </pic:spPr>
                      </pic:pic>
                    </a:graphicData>
                  </a:graphic>
                </wp:inline>
              </w:drawing>
            </w:r>
          </w:p>
          <w:p w14:paraId="1F9A758F" w14:textId="0593686A" w:rsidR="00470E58" w:rsidRPr="00A653A9" w:rsidRDefault="00470E58" w:rsidP="00A653A9">
            <w:pPr>
              <w:pStyle w:val="Caption"/>
            </w:pPr>
            <w:r w:rsidRPr="00A653A9">
              <w:t>Figure</w:t>
            </w:r>
            <w:r w:rsidR="007C13AC" w:rsidRPr="00A653A9">
              <w:t xml:space="preserve"> 1</w:t>
            </w:r>
            <w:r w:rsidR="00C22657" w:rsidRPr="00A653A9">
              <w:t>7</w:t>
            </w:r>
            <w:r w:rsidRPr="00A653A9">
              <w:t xml:space="preserve">: Count of contracts contributing to </w:t>
            </w:r>
            <w:r w:rsidR="00DA4CBB" w:rsidRPr="00A653A9">
              <w:t>a</w:t>
            </w:r>
            <w:r w:rsidRPr="00A653A9">
              <w:t xml:space="preserve">nnual </w:t>
            </w:r>
            <w:r w:rsidR="00DA4CBB" w:rsidRPr="00A653A9">
              <w:t>r</w:t>
            </w:r>
            <w:r w:rsidRPr="00A653A9">
              <w:t>eport</w:t>
            </w:r>
            <w:r w:rsidR="00C22657" w:rsidRPr="00A653A9">
              <w:t>.</w:t>
            </w:r>
          </w:p>
        </w:tc>
      </w:tr>
    </w:tbl>
    <w:p w14:paraId="2829D0AD" w14:textId="4C9DE19B" w:rsidR="00470E58" w:rsidRPr="00C22657" w:rsidRDefault="00470E58" w:rsidP="00470E58">
      <w:pPr>
        <w:rPr>
          <w:sz w:val="24"/>
          <w:szCs w:val="24"/>
        </w:rPr>
      </w:pPr>
      <w:r w:rsidRPr="00C22657">
        <w:rPr>
          <w:sz w:val="24"/>
          <w:szCs w:val="24"/>
        </w:rPr>
        <w:t xml:space="preserve">TMR’s </w:t>
      </w:r>
      <w:r w:rsidRPr="00C22657">
        <w:rPr>
          <w:i/>
          <w:iCs/>
          <w:sz w:val="24"/>
          <w:szCs w:val="24"/>
        </w:rPr>
        <w:t>Waste 2 Resource Strategy</w:t>
      </w:r>
      <w:r w:rsidRPr="00C22657">
        <w:rPr>
          <w:sz w:val="24"/>
          <w:szCs w:val="24"/>
        </w:rPr>
        <w:t xml:space="preserve"> addresses opportunities for greater uptake of recycled materials in infrastructure projects and circular economy principles. The </w:t>
      </w:r>
      <w:r w:rsidRPr="00C22657">
        <w:rPr>
          <w:i/>
          <w:iCs/>
          <w:sz w:val="24"/>
          <w:szCs w:val="24"/>
        </w:rPr>
        <w:t>Waste 2 Resource Strategy</w:t>
      </w:r>
      <w:r w:rsidRPr="00C22657">
        <w:rPr>
          <w:sz w:val="24"/>
          <w:szCs w:val="24"/>
        </w:rPr>
        <w:t xml:space="preserve"> does not mandate the use of recycled materials but instead clearly states that TMR prefers the use of recycled materials on transport infrastructure projects where they are:</w:t>
      </w:r>
    </w:p>
    <w:p w14:paraId="67373CE9" w14:textId="690F5122" w:rsidR="00470E58" w:rsidRPr="00C22657" w:rsidRDefault="00470E58" w:rsidP="00470E58">
      <w:pPr>
        <w:pStyle w:val="ListParagraph"/>
        <w:numPr>
          <w:ilvl w:val="0"/>
          <w:numId w:val="11"/>
        </w:numPr>
        <w:rPr>
          <w:sz w:val="24"/>
          <w:szCs w:val="24"/>
        </w:rPr>
      </w:pPr>
      <w:r w:rsidRPr="00C22657">
        <w:rPr>
          <w:sz w:val="24"/>
          <w:szCs w:val="24"/>
        </w:rPr>
        <w:t>permitted in accordance with TMR’s technical specifications</w:t>
      </w:r>
    </w:p>
    <w:p w14:paraId="4D289C19" w14:textId="56AEBD15" w:rsidR="00470E58" w:rsidRPr="00C22657" w:rsidRDefault="00470E58" w:rsidP="00470E58">
      <w:pPr>
        <w:pStyle w:val="ListParagraph"/>
        <w:numPr>
          <w:ilvl w:val="0"/>
          <w:numId w:val="11"/>
        </w:numPr>
        <w:rPr>
          <w:sz w:val="24"/>
          <w:szCs w:val="24"/>
        </w:rPr>
      </w:pPr>
      <w:r w:rsidRPr="00C22657">
        <w:rPr>
          <w:sz w:val="24"/>
          <w:szCs w:val="24"/>
        </w:rPr>
        <w:t>cost competitive with conventional materials</w:t>
      </w:r>
    </w:p>
    <w:p w14:paraId="5A7FA749" w14:textId="64B1A7AF" w:rsidR="00470E58" w:rsidRPr="00C22657" w:rsidRDefault="00470E58" w:rsidP="00470E58">
      <w:pPr>
        <w:pStyle w:val="ListParagraph"/>
        <w:numPr>
          <w:ilvl w:val="0"/>
          <w:numId w:val="11"/>
        </w:numPr>
        <w:rPr>
          <w:sz w:val="24"/>
          <w:szCs w:val="24"/>
        </w:rPr>
      </w:pPr>
      <w:r w:rsidRPr="00C22657">
        <w:rPr>
          <w:sz w:val="24"/>
          <w:szCs w:val="24"/>
        </w:rPr>
        <w:t>available in quantities required for the specific project.</w:t>
      </w:r>
    </w:p>
    <w:p w14:paraId="61AACD3C" w14:textId="77777777" w:rsidR="00B57A6C" w:rsidRDefault="00470E58" w:rsidP="00470E58">
      <w:pPr>
        <w:rPr>
          <w:sz w:val="24"/>
          <w:szCs w:val="24"/>
        </w:rPr>
      </w:pPr>
      <w:r w:rsidRPr="00C22657">
        <w:rPr>
          <w:sz w:val="24"/>
          <w:szCs w:val="24"/>
        </w:rPr>
        <w:t xml:space="preserve">As part of the actions under the current </w:t>
      </w:r>
      <w:r w:rsidRPr="00C22657">
        <w:rPr>
          <w:i/>
          <w:iCs/>
          <w:sz w:val="24"/>
          <w:szCs w:val="24"/>
        </w:rPr>
        <w:t>Waste 2 Resource Strategy</w:t>
      </w:r>
      <w:r w:rsidRPr="00C22657">
        <w:rPr>
          <w:sz w:val="24"/>
          <w:szCs w:val="24"/>
        </w:rPr>
        <w:t xml:space="preserve">, TMR has continued to use the National Asset Centre of Excellence (NACOE) Program, a collaborative research agreement with the Australian Road Research Board, to conduct research and development on use of recycled materials in infrastructure. </w:t>
      </w:r>
    </w:p>
    <w:p w14:paraId="6A79C4DC" w14:textId="70907041" w:rsidR="00470E58" w:rsidRPr="00C22657" w:rsidRDefault="00470E58" w:rsidP="00470E58">
      <w:pPr>
        <w:rPr>
          <w:sz w:val="24"/>
          <w:szCs w:val="24"/>
        </w:rPr>
      </w:pPr>
      <w:r w:rsidRPr="00C22657">
        <w:rPr>
          <w:sz w:val="24"/>
          <w:szCs w:val="24"/>
        </w:rPr>
        <w:t>Considerable work has been undertaken to:</w:t>
      </w:r>
    </w:p>
    <w:p w14:paraId="105FACB3" w14:textId="77777777" w:rsidR="00470E58" w:rsidRPr="00C22657" w:rsidRDefault="00470E58" w:rsidP="00470E58">
      <w:pPr>
        <w:pStyle w:val="ListParagraph"/>
        <w:numPr>
          <w:ilvl w:val="0"/>
          <w:numId w:val="11"/>
        </w:numPr>
        <w:rPr>
          <w:sz w:val="24"/>
          <w:szCs w:val="24"/>
        </w:rPr>
      </w:pPr>
      <w:r w:rsidRPr="00C22657">
        <w:rPr>
          <w:sz w:val="24"/>
          <w:szCs w:val="24"/>
        </w:rPr>
        <w:t>test and verify the feasible use of alternative recycled materials within pavements structures and earthworks</w:t>
      </w:r>
    </w:p>
    <w:p w14:paraId="09D69B00" w14:textId="77777777" w:rsidR="00470E58" w:rsidRPr="00C22657" w:rsidRDefault="00470E58" w:rsidP="00470E58">
      <w:pPr>
        <w:pStyle w:val="ListParagraph"/>
        <w:numPr>
          <w:ilvl w:val="0"/>
          <w:numId w:val="11"/>
        </w:numPr>
        <w:rPr>
          <w:sz w:val="24"/>
          <w:szCs w:val="24"/>
        </w:rPr>
      </w:pPr>
      <w:r w:rsidRPr="00C22657">
        <w:rPr>
          <w:sz w:val="24"/>
          <w:szCs w:val="24"/>
        </w:rPr>
        <w:t>understand emissions profiles of the use of innovative pavement materials</w:t>
      </w:r>
    </w:p>
    <w:p w14:paraId="50022880" w14:textId="77777777" w:rsidR="00470E58" w:rsidRPr="00C22657" w:rsidRDefault="00470E58" w:rsidP="00470E58">
      <w:pPr>
        <w:pStyle w:val="ListParagraph"/>
        <w:numPr>
          <w:ilvl w:val="0"/>
          <w:numId w:val="11"/>
        </w:numPr>
        <w:rPr>
          <w:sz w:val="24"/>
          <w:szCs w:val="24"/>
        </w:rPr>
      </w:pPr>
      <w:r w:rsidRPr="00C22657">
        <w:rPr>
          <w:sz w:val="24"/>
          <w:szCs w:val="24"/>
        </w:rPr>
        <w:t>quantify the sustainability of pavement materials.</w:t>
      </w:r>
    </w:p>
    <w:p w14:paraId="64BD06EF" w14:textId="565FC415" w:rsidR="00F0576E" w:rsidRDefault="00470E58" w:rsidP="00470E58">
      <w:pPr>
        <w:rPr>
          <w:sz w:val="24"/>
          <w:szCs w:val="24"/>
        </w:rPr>
      </w:pPr>
      <w:r w:rsidRPr="00C22657">
        <w:rPr>
          <w:sz w:val="24"/>
          <w:szCs w:val="24"/>
        </w:rPr>
        <w:t xml:space="preserve">The following case studies provide more information about three current projects. There is a full list of all NACOE projects that contribute to the </w:t>
      </w:r>
      <w:r w:rsidRPr="00C22657">
        <w:rPr>
          <w:i/>
          <w:iCs/>
          <w:sz w:val="24"/>
          <w:szCs w:val="24"/>
        </w:rPr>
        <w:t>Waste 2 Resource Strategy</w:t>
      </w:r>
      <w:r w:rsidRPr="00C22657">
        <w:rPr>
          <w:sz w:val="24"/>
          <w:szCs w:val="24"/>
        </w:rPr>
        <w:t xml:space="preserve"> in Appendix A</w:t>
      </w:r>
      <w:r w:rsidR="00B57A6C">
        <w:rPr>
          <w:sz w:val="24"/>
          <w:szCs w:val="24"/>
        </w:rPr>
        <w:t xml:space="preserve"> (from page 1</w:t>
      </w:r>
      <w:r w:rsidR="006367E8">
        <w:rPr>
          <w:sz w:val="24"/>
          <w:szCs w:val="24"/>
        </w:rPr>
        <w:t>5</w:t>
      </w:r>
      <w:r w:rsidR="00B57A6C">
        <w:rPr>
          <w:sz w:val="24"/>
          <w:szCs w:val="24"/>
        </w:rPr>
        <w:t>).</w:t>
      </w:r>
    </w:p>
    <w:p w14:paraId="3A97C234" w14:textId="42BFF5E7" w:rsidR="00470E58" w:rsidRDefault="00470E58" w:rsidP="00470E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7797"/>
        <w:gridCol w:w="1951"/>
      </w:tblGrid>
      <w:tr w:rsidR="00470E58" w:rsidRPr="00126191" w14:paraId="7CF38A6A" w14:textId="29754765" w:rsidTr="008409D7">
        <w:trPr>
          <w:trHeight w:val="20"/>
        </w:trPr>
        <w:tc>
          <w:tcPr>
            <w:tcW w:w="7797" w:type="dxa"/>
            <w:shd w:val="clear" w:color="auto" w:fill="003C69"/>
          </w:tcPr>
          <w:p w14:paraId="598985FB" w14:textId="77777777" w:rsidR="00131CED" w:rsidRDefault="00470E58" w:rsidP="00FA1B5B">
            <w:pPr>
              <w:pStyle w:val="Heading2"/>
              <w:rPr>
                <w:color w:val="FFFFFF" w:themeColor="background1"/>
              </w:rPr>
            </w:pPr>
            <w:bookmarkStart w:id="35" w:name="_Toc147824139"/>
            <w:bookmarkEnd w:id="33"/>
            <w:bookmarkEnd w:id="34"/>
            <w:r w:rsidRPr="00FA1B5B">
              <w:rPr>
                <w:color w:val="FFFFFF" w:themeColor="background1"/>
              </w:rPr>
              <w:lastRenderedPageBreak/>
              <w:t xml:space="preserve">Case study 5: Recycled materials in </w:t>
            </w:r>
            <w:r w:rsidR="00FA046D">
              <w:rPr>
                <w:color w:val="FFFFFF" w:themeColor="background1"/>
              </w:rPr>
              <w:t>e</w:t>
            </w:r>
            <w:r w:rsidRPr="00FA1B5B">
              <w:rPr>
                <w:color w:val="FFFFFF" w:themeColor="background1"/>
              </w:rPr>
              <w:t>arthworks</w:t>
            </w:r>
            <w:bookmarkEnd w:id="35"/>
          </w:p>
          <w:p w14:paraId="31D4D557" w14:textId="06E9FC87" w:rsidR="00470E58" w:rsidRPr="00131CED" w:rsidRDefault="00470E58" w:rsidP="00131CED">
            <w:pPr>
              <w:rPr>
                <w:b/>
                <w:bCs/>
                <w:color w:val="FFFFFF" w:themeColor="background1"/>
                <w:sz w:val="28"/>
                <w:szCs w:val="32"/>
              </w:rPr>
            </w:pPr>
            <w:r w:rsidRPr="00131CED">
              <w:rPr>
                <w:b/>
                <w:bCs/>
                <w:color w:val="FFFFFF" w:themeColor="background1"/>
                <w:sz w:val="28"/>
                <w:szCs w:val="32"/>
              </w:rPr>
              <w:t xml:space="preserve"> – NACOE O25</w:t>
            </w:r>
          </w:p>
          <w:p w14:paraId="7C87D72E" w14:textId="77777777" w:rsidR="005C603D" w:rsidRPr="00C22657" w:rsidRDefault="00470E58" w:rsidP="00470E58">
            <w:pPr>
              <w:spacing w:after="120"/>
              <w:rPr>
                <w:sz w:val="24"/>
                <w:szCs w:val="24"/>
              </w:rPr>
            </w:pPr>
            <w:r w:rsidRPr="00C22657">
              <w:rPr>
                <w:sz w:val="24"/>
                <w:szCs w:val="24"/>
              </w:rPr>
              <w:t xml:space="preserve">TMR are conducting extensive testing on recycled materials to provide the industry with confidence in recycled materials. </w:t>
            </w:r>
          </w:p>
          <w:p w14:paraId="5E0BE534" w14:textId="0964D68F" w:rsidR="005C603D" w:rsidRPr="00C22657" w:rsidRDefault="00470E58" w:rsidP="00470E58">
            <w:pPr>
              <w:spacing w:after="120"/>
              <w:rPr>
                <w:sz w:val="24"/>
                <w:szCs w:val="24"/>
              </w:rPr>
            </w:pPr>
            <w:r w:rsidRPr="00C22657">
              <w:rPr>
                <w:sz w:val="24"/>
                <w:szCs w:val="24"/>
              </w:rPr>
              <w:t xml:space="preserve">This project is part of a multi-year project to explore the safe and sustainable use of recycled materials in earthworks and drainage including recycled crushed glass, recycled crushed concrete, Reclaimed Asphalt Pavement (RAP) materials that are not suitable for reuse in asphalt, and coal combustion by-products. These recycled and by-product materials may be able to replace virgin and naturally occurring materials. </w:t>
            </w:r>
          </w:p>
          <w:p w14:paraId="7F550D7E" w14:textId="0F3FC005" w:rsidR="00470E58" w:rsidRPr="00470E58" w:rsidRDefault="00470E58" w:rsidP="008E5ABA">
            <w:pPr>
              <w:spacing w:after="120"/>
              <w:rPr>
                <w:i/>
                <w:iCs/>
              </w:rPr>
            </w:pPr>
            <w:r w:rsidRPr="00C22657">
              <w:rPr>
                <w:sz w:val="24"/>
                <w:szCs w:val="24"/>
              </w:rPr>
              <w:t>The project is investigating the potential use of recycled materials for road embankment and drainage. This research has included literature reviews and benchmarking to other Australian state transport agencies and selected international road agency requirements regarding the use of recycled products in these road construction applications. Several potential uses have been identified and future years of the project will include additional testing and calibration as part of field trials.</w:t>
            </w:r>
          </w:p>
        </w:tc>
        <w:tc>
          <w:tcPr>
            <w:tcW w:w="1809" w:type="dxa"/>
            <w:shd w:val="clear" w:color="auto" w:fill="auto"/>
            <w:tcMar>
              <w:left w:w="0" w:type="dxa"/>
              <w:right w:w="0" w:type="dxa"/>
            </w:tcMar>
          </w:tcPr>
          <w:p w14:paraId="1340B241" w14:textId="0C2A59B3" w:rsidR="00470E58" w:rsidRPr="00BE627A" w:rsidRDefault="008E5ABA" w:rsidP="00470E58">
            <w:pPr>
              <w:pStyle w:val="NoSpacing"/>
              <w:rPr>
                <w:color w:val="FFFFFF" w:themeColor="background1"/>
              </w:rPr>
            </w:pPr>
            <w:r>
              <w:rPr>
                <w:noProof/>
                <w:color w:val="FFFFFF" w:themeColor="background1"/>
              </w:rPr>
              <mc:AlternateContent>
                <mc:Choice Requires="wps">
                  <w:drawing>
                    <wp:inline distT="0" distB="0" distL="0" distR="0" wp14:anchorId="4FBFE17F" wp14:editId="434A463A">
                      <wp:extent cx="1239322" cy="3966358"/>
                      <wp:effectExtent l="0" t="0" r="0" b="0"/>
                      <wp:docPr id="2" name="Rectangle: Single Corner Rounded 2"/>
                      <wp:cNvGraphicFramePr/>
                      <a:graphic xmlns:a="http://schemas.openxmlformats.org/drawingml/2006/main">
                        <a:graphicData uri="http://schemas.microsoft.com/office/word/2010/wordprocessingShape">
                          <wps:wsp>
                            <wps:cNvSpPr/>
                            <wps:spPr>
                              <a:xfrm>
                                <a:off x="0" y="0"/>
                                <a:ext cx="1239322" cy="3966358"/>
                              </a:xfrm>
                              <a:prstGeom prst="round1Rect">
                                <a:avLst>
                                  <a:gd name="adj" fmla="val 40991"/>
                                </a:avLst>
                              </a:prstGeom>
                              <a:solidFill>
                                <a:srgbClr val="0021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960709" id="Rectangle: Single Corner Rounded 2" o:spid="_x0000_s1026" style="width:97.6pt;height:312.3pt;visibility:visible;mso-wrap-style:square;mso-left-percent:-10001;mso-top-percent:-10001;mso-position-horizontal:absolute;mso-position-horizontal-relative:char;mso-position-vertical:absolute;mso-position-vertical-relative:line;mso-left-percent:-10001;mso-top-percent:-10001;v-text-anchor:middle" coordsize="1239322,396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" path="m,l731312,v280566,,508010,227444,508010,508010l1239322,3966358,,3966358,,xe" fillcolor="#00213a" stroked="f" strokeweight="1pt">
                      <v:stroke joinstyle="miter"/>
                      <v:path arrowok="t" o:connecttype="custom" o:connectlocs="0,0;731312,0;1239322,508010;1239322,3966358;0,3966358;0,0" o:connectangles="0,0,0,0,0,0"/>
                      <w10:anchorlock/>
                    </v:shape>
                  </w:pict>
                </mc:Fallback>
              </mc:AlternateContent>
            </w:r>
          </w:p>
        </w:tc>
      </w:tr>
    </w:tbl>
    <w:p w14:paraId="2D77CC2F" w14:textId="3723D963" w:rsidR="00470E58" w:rsidRDefault="00470E58" w:rsidP="00470E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7802"/>
        <w:gridCol w:w="1950"/>
      </w:tblGrid>
      <w:tr w:rsidR="009509E1" w:rsidRPr="00126191" w14:paraId="70AC9A6B" w14:textId="77777777" w:rsidTr="008409D7">
        <w:trPr>
          <w:trHeight w:val="20"/>
        </w:trPr>
        <w:tc>
          <w:tcPr>
            <w:tcW w:w="7938" w:type="dxa"/>
            <w:shd w:val="clear" w:color="auto" w:fill="003C69"/>
          </w:tcPr>
          <w:p w14:paraId="2C23FBC5" w14:textId="77777777" w:rsidR="00131CED" w:rsidRDefault="009509E1" w:rsidP="00FA1B5B">
            <w:pPr>
              <w:pStyle w:val="Heading2"/>
              <w:rPr>
                <w:color w:val="FFFFFF" w:themeColor="background1"/>
              </w:rPr>
            </w:pPr>
            <w:bookmarkStart w:id="36" w:name="_Toc147824140"/>
            <w:r w:rsidRPr="00FA1B5B">
              <w:rPr>
                <w:color w:val="FFFFFF" w:themeColor="background1"/>
              </w:rPr>
              <w:t>Case study 6: Recycled material supplier database</w:t>
            </w:r>
            <w:bookmarkEnd w:id="36"/>
            <w:r w:rsidRPr="00FA1B5B">
              <w:rPr>
                <w:color w:val="FFFFFF" w:themeColor="background1"/>
              </w:rPr>
              <w:t xml:space="preserve"> </w:t>
            </w:r>
          </w:p>
          <w:p w14:paraId="690BABFE" w14:textId="42F42B0A" w:rsidR="009509E1" w:rsidRPr="00131CED" w:rsidRDefault="00CD4D1C" w:rsidP="00131CED">
            <w:pPr>
              <w:rPr>
                <w:b/>
                <w:bCs/>
                <w:color w:val="FFFFFF" w:themeColor="background1"/>
                <w:sz w:val="28"/>
                <w:szCs w:val="32"/>
              </w:rPr>
            </w:pPr>
            <w:r w:rsidRPr="00131CED">
              <w:rPr>
                <w:b/>
                <w:bCs/>
                <w:color w:val="FFFFFF" w:themeColor="background1"/>
                <w:sz w:val="28"/>
                <w:szCs w:val="32"/>
              </w:rPr>
              <w:t xml:space="preserve">– </w:t>
            </w:r>
            <w:r w:rsidR="009509E1" w:rsidRPr="00131CED">
              <w:rPr>
                <w:b/>
                <w:bCs/>
                <w:color w:val="FFFFFF" w:themeColor="background1"/>
                <w:sz w:val="28"/>
                <w:szCs w:val="32"/>
              </w:rPr>
              <w:t>NACOE O28</w:t>
            </w:r>
          </w:p>
          <w:p w14:paraId="4AFA0F39" w14:textId="5EF11E94" w:rsidR="009509E1" w:rsidRPr="00C22657" w:rsidRDefault="009509E1" w:rsidP="009509E1">
            <w:pPr>
              <w:spacing w:after="120"/>
              <w:rPr>
                <w:sz w:val="24"/>
                <w:szCs w:val="24"/>
              </w:rPr>
            </w:pPr>
            <w:r w:rsidRPr="00C22657">
              <w:rPr>
                <w:sz w:val="24"/>
                <w:szCs w:val="24"/>
              </w:rPr>
              <w:t xml:space="preserve">Lack of awareness about allowable uses for recycled materials and suppliers has been identified as a barrier to the uptake of recycled materials. This project is a multi-year project to develop a dashboard of statewide recycled material suppliers to support the use of local recycled materials in road projects across Queensland. </w:t>
            </w:r>
          </w:p>
          <w:p w14:paraId="7626E554" w14:textId="39485737" w:rsidR="009509E1" w:rsidRPr="00C22657" w:rsidRDefault="009509E1" w:rsidP="009509E1">
            <w:pPr>
              <w:spacing w:after="120"/>
              <w:rPr>
                <w:sz w:val="24"/>
                <w:szCs w:val="24"/>
              </w:rPr>
            </w:pPr>
            <w:r w:rsidRPr="00C22657">
              <w:rPr>
                <w:sz w:val="24"/>
                <w:szCs w:val="24"/>
              </w:rPr>
              <w:t xml:space="preserve">The purpose of this project is to raise awareness and promote the recycling industry to facilitate increased use of recycled products on TMR projects. Under TMR’s Building Sustainable Roads initiative and the </w:t>
            </w:r>
            <w:r w:rsidRPr="00C22657">
              <w:rPr>
                <w:i/>
                <w:iCs/>
                <w:sz w:val="24"/>
                <w:szCs w:val="24"/>
              </w:rPr>
              <w:t>Waste 2 Resource Strategy</w:t>
            </w:r>
            <w:r w:rsidRPr="00C22657">
              <w:rPr>
                <w:sz w:val="24"/>
                <w:szCs w:val="24"/>
              </w:rPr>
              <w:t xml:space="preserve">, TMR prefers recycled material in many of its construction activities. Also under the strategy, contractors are required to report what recycled materials will be used on a project through the W2R Tender Schedule. </w:t>
            </w:r>
          </w:p>
          <w:p w14:paraId="3AE1EA9C" w14:textId="79F88F1F" w:rsidR="009509E1" w:rsidRPr="009509E1" w:rsidRDefault="009509E1" w:rsidP="008E5ABA">
            <w:pPr>
              <w:spacing w:after="120"/>
              <w:rPr>
                <w:i/>
                <w:iCs/>
              </w:rPr>
            </w:pPr>
            <w:r w:rsidRPr="00C22657">
              <w:rPr>
                <w:sz w:val="24"/>
                <w:szCs w:val="24"/>
              </w:rPr>
              <w:t>This dashboard will align with the W2R tender schedule and will provide information about the location of recycled materials suppliers and will assist project teams and contractors to identify how and where to source these materials. Ultimately, this will facilitate market growth of recycled materials.</w:t>
            </w:r>
          </w:p>
        </w:tc>
        <w:tc>
          <w:tcPr>
            <w:tcW w:w="1814" w:type="dxa"/>
            <w:shd w:val="clear" w:color="auto" w:fill="auto"/>
            <w:tcMar>
              <w:left w:w="0" w:type="dxa"/>
              <w:right w:w="0" w:type="dxa"/>
            </w:tcMar>
          </w:tcPr>
          <w:p w14:paraId="07F22CC8" w14:textId="5FD0C043" w:rsidR="009509E1" w:rsidRPr="00BE627A" w:rsidRDefault="008E5ABA" w:rsidP="00F456DC">
            <w:pPr>
              <w:pStyle w:val="NoSpacing"/>
              <w:rPr>
                <w:color w:val="FFFFFF" w:themeColor="background1"/>
              </w:rPr>
            </w:pPr>
            <w:r>
              <w:rPr>
                <w:noProof/>
                <w:color w:val="FFFFFF" w:themeColor="background1"/>
              </w:rPr>
              <mc:AlternateContent>
                <mc:Choice Requires="wps">
                  <w:drawing>
                    <wp:inline distT="0" distB="0" distL="0" distR="0" wp14:anchorId="666CA59A" wp14:editId="5B5EF83B">
                      <wp:extent cx="1234754" cy="4073237"/>
                      <wp:effectExtent l="0" t="0" r="3810" b="3810"/>
                      <wp:docPr id="4" name="Rectangle: Single Corner Rounded 4"/>
                      <wp:cNvGraphicFramePr/>
                      <a:graphic xmlns:a="http://schemas.openxmlformats.org/drawingml/2006/main">
                        <a:graphicData uri="http://schemas.microsoft.com/office/word/2010/wordprocessingShape">
                          <wps:wsp>
                            <wps:cNvSpPr/>
                            <wps:spPr>
                              <a:xfrm>
                                <a:off x="0" y="0"/>
                                <a:ext cx="1234754" cy="4073237"/>
                              </a:xfrm>
                              <a:prstGeom prst="round1Rect">
                                <a:avLst>
                                  <a:gd name="adj" fmla="val 40991"/>
                                </a:avLst>
                              </a:prstGeom>
                              <a:solidFill>
                                <a:srgbClr val="0021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A6E78F" id="Rectangle: Single Corner Rounded 4" o:spid="_x0000_s1026" style="width:97.2pt;height:320.75pt;visibility:visible;mso-wrap-style:square;mso-left-percent:-10001;mso-top-percent:-10001;mso-position-horizontal:absolute;mso-position-horizontal-relative:char;mso-position-vertical:absolute;mso-position-vertical-relative:line;mso-left-percent:-10001;mso-top-percent:-10001;v-text-anchor:middle" coordsize="1234754,407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" path="m,l728616,v279532,,506138,226606,506138,506138l1234754,4073237,,4073237,,xe" fillcolor="#00213a" stroked="f" strokeweight="1pt">
                      <v:stroke joinstyle="miter"/>
                      <v:path arrowok="t" o:connecttype="custom" o:connectlocs="0,0;728616,0;1234754,506138;1234754,4073237;0,4073237;0,0" o:connectangles="0,0,0,0,0,0"/>
                      <w10:anchorlock/>
                    </v:shape>
                  </w:pict>
                </mc:Fallback>
              </mc:AlternateContent>
            </w:r>
          </w:p>
        </w:tc>
      </w:tr>
    </w:tbl>
    <w:p w14:paraId="60CA442B" w14:textId="594988F1" w:rsidR="009509E1" w:rsidRDefault="009509E1" w:rsidP="009509E1">
      <w:bookmarkStart w:id="37" w:name="_Toc145588828"/>
      <w:bookmarkStart w:id="38" w:name="_Toc145592676"/>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6089"/>
        <w:gridCol w:w="3720"/>
      </w:tblGrid>
      <w:tr w:rsidR="00BD1B7C" w:rsidRPr="00126191" w14:paraId="7CB767CB" w14:textId="77777777" w:rsidTr="00945366">
        <w:trPr>
          <w:trHeight w:val="20"/>
        </w:trPr>
        <w:tc>
          <w:tcPr>
            <w:tcW w:w="7088" w:type="dxa"/>
            <w:shd w:val="clear" w:color="auto" w:fill="003C69"/>
          </w:tcPr>
          <w:p w14:paraId="1A7AC745" w14:textId="77777777" w:rsidR="00131CED" w:rsidRDefault="009509E1" w:rsidP="00FA1B5B">
            <w:pPr>
              <w:pStyle w:val="Heading2"/>
              <w:rPr>
                <w:color w:val="FFFFFF" w:themeColor="background1"/>
              </w:rPr>
            </w:pPr>
            <w:bookmarkStart w:id="39" w:name="_Toc147824141"/>
            <w:bookmarkEnd w:id="37"/>
            <w:bookmarkEnd w:id="38"/>
            <w:r w:rsidRPr="00FA1B5B">
              <w:rPr>
                <w:color w:val="FFFFFF" w:themeColor="background1"/>
              </w:rPr>
              <w:lastRenderedPageBreak/>
              <w:t>Case study 7: Sustainability Assessment Tool for Pavements (SAT4P)</w:t>
            </w:r>
            <w:bookmarkEnd w:id="39"/>
            <w:r w:rsidRPr="00FA1B5B">
              <w:rPr>
                <w:color w:val="FFFFFF" w:themeColor="background1"/>
              </w:rPr>
              <w:t xml:space="preserve"> </w:t>
            </w:r>
          </w:p>
          <w:p w14:paraId="02D1336B" w14:textId="639306DA" w:rsidR="009509E1" w:rsidRPr="00131CED" w:rsidRDefault="009509E1" w:rsidP="00131CED">
            <w:pPr>
              <w:rPr>
                <w:b/>
                <w:bCs/>
                <w:sz w:val="28"/>
                <w:szCs w:val="32"/>
              </w:rPr>
            </w:pPr>
            <w:r w:rsidRPr="00131CED">
              <w:rPr>
                <w:rFonts w:cstheme="majorHAnsi"/>
                <w:b/>
                <w:bCs/>
                <w:sz w:val="28"/>
                <w:szCs w:val="32"/>
              </w:rPr>
              <w:t>–</w:t>
            </w:r>
            <w:r w:rsidRPr="00131CED">
              <w:rPr>
                <w:b/>
                <w:bCs/>
                <w:sz w:val="28"/>
                <w:szCs w:val="32"/>
              </w:rPr>
              <w:t xml:space="preserve"> NACOE P117</w:t>
            </w:r>
          </w:p>
          <w:p w14:paraId="5E375C17" w14:textId="2A396B33" w:rsidR="009509E1" w:rsidRPr="00C5712F" w:rsidRDefault="009509E1" w:rsidP="009509E1">
            <w:pPr>
              <w:spacing w:after="120"/>
              <w:rPr>
                <w:sz w:val="24"/>
                <w:szCs w:val="24"/>
              </w:rPr>
            </w:pPr>
            <w:r w:rsidRPr="00C5712F">
              <w:rPr>
                <w:sz w:val="24"/>
                <w:szCs w:val="24"/>
              </w:rPr>
              <w:t>This project is being undertaken in partnership with Western Australia’s Road Research Innovation Program and will facilitate more sustainable methods and materials in road construction. This is a multi-year project to develop an online SAT4P tool to assess the cost and emissions using recycled materials.</w:t>
            </w:r>
          </w:p>
          <w:p w14:paraId="443B609D" w14:textId="77777777" w:rsidR="009509E1" w:rsidRPr="00C5712F" w:rsidRDefault="009509E1" w:rsidP="009509E1">
            <w:pPr>
              <w:spacing w:after="120"/>
              <w:rPr>
                <w:sz w:val="24"/>
                <w:szCs w:val="24"/>
              </w:rPr>
            </w:pPr>
            <w:r w:rsidRPr="00C5712F">
              <w:rPr>
                <w:sz w:val="24"/>
                <w:szCs w:val="24"/>
              </w:rPr>
              <w:t>This project builds on the case studies in NACOE P106 that showed that many innovative and recycled materials can provide both cost and emissions savings to TMR projects.</w:t>
            </w:r>
          </w:p>
          <w:p w14:paraId="6590EBCD" w14:textId="65493321" w:rsidR="009509E1" w:rsidRPr="00C5712F" w:rsidRDefault="009509E1" w:rsidP="009509E1">
            <w:pPr>
              <w:spacing w:after="120"/>
              <w:rPr>
                <w:sz w:val="24"/>
                <w:szCs w:val="24"/>
              </w:rPr>
            </w:pPr>
            <w:r w:rsidRPr="00C5712F">
              <w:rPr>
                <w:sz w:val="24"/>
                <w:szCs w:val="24"/>
              </w:rPr>
              <w:t>It is anticipated that the SATP tool will contribute to TMR and its road research and its project partners better quantifying and comparing pavement options and will:</w:t>
            </w:r>
          </w:p>
          <w:p w14:paraId="0B29A49C" w14:textId="77777777" w:rsidR="009509E1" w:rsidRPr="00C5712F" w:rsidRDefault="009509E1" w:rsidP="009509E1">
            <w:pPr>
              <w:pStyle w:val="ListParagraph"/>
              <w:numPr>
                <w:ilvl w:val="0"/>
                <w:numId w:val="14"/>
              </w:numPr>
              <w:spacing w:after="120"/>
              <w:ind w:left="454" w:hanging="283"/>
              <w:rPr>
                <w:sz w:val="24"/>
                <w:szCs w:val="24"/>
              </w:rPr>
            </w:pPr>
            <w:r w:rsidRPr="00C5712F">
              <w:rPr>
                <w:sz w:val="24"/>
                <w:szCs w:val="24"/>
              </w:rPr>
              <w:t>improve capability in assessing sustainability impacts of innovative pavement designs and technology</w:t>
            </w:r>
          </w:p>
          <w:p w14:paraId="3D35AED5" w14:textId="77777777" w:rsidR="009509E1" w:rsidRPr="00C5712F" w:rsidRDefault="009509E1" w:rsidP="009509E1">
            <w:pPr>
              <w:pStyle w:val="ListParagraph"/>
              <w:numPr>
                <w:ilvl w:val="0"/>
                <w:numId w:val="14"/>
              </w:numPr>
              <w:spacing w:after="120"/>
              <w:ind w:left="454" w:hanging="283"/>
              <w:rPr>
                <w:sz w:val="24"/>
                <w:szCs w:val="24"/>
              </w:rPr>
            </w:pPr>
            <w:r w:rsidRPr="00C5712F">
              <w:rPr>
                <w:sz w:val="24"/>
                <w:szCs w:val="24"/>
              </w:rPr>
              <w:t xml:space="preserve">inform improved pavement designs, leading to better long-term investment decision-making </w:t>
            </w:r>
          </w:p>
          <w:p w14:paraId="4C1074B2" w14:textId="0AB4A083" w:rsidR="009509E1" w:rsidRPr="00C5712F" w:rsidRDefault="009509E1" w:rsidP="009509E1">
            <w:pPr>
              <w:pStyle w:val="ListParagraph"/>
              <w:numPr>
                <w:ilvl w:val="0"/>
                <w:numId w:val="14"/>
              </w:numPr>
              <w:spacing w:after="120"/>
              <w:ind w:left="454" w:hanging="283"/>
              <w:rPr>
                <w:sz w:val="24"/>
                <w:szCs w:val="24"/>
              </w:rPr>
            </w:pPr>
            <w:r w:rsidRPr="00C5712F">
              <w:rPr>
                <w:sz w:val="24"/>
                <w:szCs w:val="24"/>
              </w:rPr>
              <w:t>contribute to emissions reductions decision-making</w:t>
            </w:r>
          </w:p>
          <w:p w14:paraId="23CAEC4D" w14:textId="77777777" w:rsidR="009509E1" w:rsidRPr="00C5712F" w:rsidRDefault="009509E1" w:rsidP="009509E1">
            <w:pPr>
              <w:pStyle w:val="ListParagraph"/>
              <w:numPr>
                <w:ilvl w:val="0"/>
                <w:numId w:val="14"/>
              </w:numPr>
              <w:spacing w:after="120"/>
              <w:ind w:left="454" w:hanging="283"/>
              <w:rPr>
                <w:sz w:val="24"/>
                <w:szCs w:val="24"/>
              </w:rPr>
            </w:pPr>
            <w:r w:rsidRPr="00C5712F">
              <w:rPr>
                <w:sz w:val="24"/>
                <w:szCs w:val="24"/>
              </w:rPr>
              <w:t xml:space="preserve">give confidence for cost savings and improved pavement performance </w:t>
            </w:r>
          </w:p>
          <w:p w14:paraId="71340BEB" w14:textId="23FC5EBB" w:rsidR="009509E1" w:rsidRPr="00C5712F" w:rsidRDefault="009509E1" w:rsidP="009509E1">
            <w:pPr>
              <w:pStyle w:val="ListParagraph"/>
              <w:numPr>
                <w:ilvl w:val="0"/>
                <w:numId w:val="14"/>
              </w:numPr>
              <w:spacing w:after="120"/>
              <w:ind w:left="454" w:hanging="283"/>
              <w:rPr>
                <w:sz w:val="24"/>
                <w:szCs w:val="24"/>
              </w:rPr>
            </w:pPr>
            <w:r w:rsidRPr="00C5712F">
              <w:rPr>
                <w:sz w:val="24"/>
                <w:szCs w:val="24"/>
              </w:rPr>
              <w:t>inform to promote technologies for increased recycling and reduced landfill to support circular economy goals and recycling industry viability.</w:t>
            </w:r>
          </w:p>
          <w:p w14:paraId="4DE5A77E" w14:textId="79EE2CC8" w:rsidR="009509E1" w:rsidRPr="009509E1" w:rsidRDefault="009509E1" w:rsidP="009509E1">
            <w:pPr>
              <w:spacing w:after="120"/>
              <w:rPr>
                <w:i/>
                <w:iCs/>
              </w:rPr>
            </w:pPr>
            <w:r w:rsidRPr="00C5712F">
              <w:rPr>
                <w:i/>
                <w:iCs/>
                <w:sz w:val="24"/>
                <w:szCs w:val="24"/>
              </w:rPr>
              <w:t>Image: Sealing works of pavement on Blackall-Jericho Road, 2019. ©</w:t>
            </w:r>
            <w:r w:rsidR="0074557B">
              <w:rPr>
                <w:i/>
                <w:iCs/>
                <w:sz w:val="24"/>
                <w:szCs w:val="24"/>
              </w:rPr>
              <w:t xml:space="preserve"> The</w:t>
            </w:r>
            <w:r w:rsidRPr="00C5712F">
              <w:rPr>
                <w:i/>
                <w:iCs/>
                <w:sz w:val="24"/>
                <w:szCs w:val="24"/>
              </w:rPr>
              <w:t xml:space="preserve"> State of Queensland.</w:t>
            </w:r>
          </w:p>
        </w:tc>
        <w:tc>
          <w:tcPr>
            <w:tcW w:w="2721" w:type="dxa"/>
            <w:shd w:val="clear" w:color="auto" w:fill="auto"/>
            <w:tcMar>
              <w:left w:w="0" w:type="dxa"/>
              <w:right w:w="0" w:type="dxa"/>
            </w:tcMar>
          </w:tcPr>
          <w:p w14:paraId="7E577884" w14:textId="1FA6B05A" w:rsidR="009509E1" w:rsidRPr="00BE627A" w:rsidRDefault="009509E1" w:rsidP="00F456DC">
            <w:pPr>
              <w:pStyle w:val="NoSpacing"/>
              <w:rPr>
                <w:color w:val="FFFFFF" w:themeColor="background1"/>
              </w:rPr>
            </w:pPr>
            <w:r>
              <w:rPr>
                <w:noProof/>
              </w:rPr>
              <w:drawing>
                <wp:inline distT="0" distB="0" distL="0" distR="0" wp14:anchorId="58C83706" wp14:editId="5B843B67">
                  <wp:extent cx="2352675" cy="5282186"/>
                  <wp:effectExtent l="0" t="0" r="9525" b="0"/>
                  <wp:docPr id="8" name="Picture 8" descr="Sealing works of pavement on Blackall-Jericho Ro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aling works of pavement on Blackall-Jericho Road 2019"/>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362537" cy="5304327"/>
                          </a:xfrm>
                          <a:prstGeom prst="round1Rect">
                            <a:avLst/>
                          </a:prstGeom>
                          <a:ln>
                            <a:noFill/>
                          </a:ln>
                          <a:extLst>
                            <a:ext uri="{53640926-AAD7-44D8-BBD7-CCE9431645EC}">
                              <a14:shadowObscured xmlns:a14="http://schemas.microsoft.com/office/drawing/2010/main"/>
                            </a:ext>
                          </a:extLst>
                        </pic:spPr>
                      </pic:pic>
                    </a:graphicData>
                  </a:graphic>
                </wp:inline>
              </w:drawing>
            </w:r>
          </w:p>
        </w:tc>
      </w:tr>
    </w:tbl>
    <w:p w14:paraId="1CB435ED" w14:textId="77777777" w:rsidR="009509E1" w:rsidRPr="009509E1" w:rsidRDefault="009509E1" w:rsidP="009509E1"/>
    <w:p w14:paraId="5445ED6F" w14:textId="77777777" w:rsidR="00FA1B5B" w:rsidRDefault="00FA1B5B" w:rsidP="00131CED">
      <w:bookmarkStart w:id="40" w:name="_Toc145588830"/>
      <w:bookmarkStart w:id="41" w:name="_Toc145592678"/>
      <w:r>
        <w:br w:type="page"/>
      </w:r>
    </w:p>
    <w:p w14:paraId="1FAE395C" w14:textId="0ACEF2C4" w:rsidR="008D39B0" w:rsidRPr="00C5712F" w:rsidRDefault="008D39B0" w:rsidP="00B27171">
      <w:pPr>
        <w:pStyle w:val="Heading1"/>
      </w:pPr>
      <w:bookmarkStart w:id="42" w:name="_Toc147824142"/>
      <w:r>
        <w:lastRenderedPageBreak/>
        <w:t>Appendix A</w:t>
      </w:r>
      <w:bookmarkEnd w:id="40"/>
      <w:bookmarkEnd w:id="41"/>
      <w:r w:rsidR="00FA1B5B">
        <w:t xml:space="preserve">: </w:t>
      </w:r>
      <w:r w:rsidR="00FA1B5B" w:rsidRPr="00FA1B5B">
        <w:t xml:space="preserve">Department of Environment and Science </w:t>
      </w:r>
      <w:r w:rsidR="00FA1B5B" w:rsidRPr="00C5712F">
        <w:t>State Entity Reporting Template</w:t>
      </w:r>
      <w:bookmarkEnd w:id="42"/>
    </w:p>
    <w:p w14:paraId="3A153852" w14:textId="16B21492" w:rsidR="008D39B0" w:rsidRPr="00FA1B5B" w:rsidRDefault="00FA1B5B" w:rsidP="00FA1B5B">
      <w:pPr>
        <w:pStyle w:val="BodyText"/>
        <w:spacing w:after="240"/>
        <w:rPr>
          <w:b/>
          <w:bCs/>
          <w:sz w:val="36"/>
          <w:szCs w:val="40"/>
        </w:rPr>
      </w:pPr>
      <w:r w:rsidRPr="00C5712F">
        <w:rPr>
          <w:b/>
          <w:bCs/>
          <w:sz w:val="36"/>
          <w:szCs w:val="40"/>
        </w:rPr>
        <w:t>State Entity Waste Reporting 2023</w:t>
      </w:r>
    </w:p>
    <w:p w14:paraId="2E4CBEB4" w14:textId="5E93F115" w:rsidR="00FA1B5B" w:rsidRPr="00C5712F" w:rsidRDefault="00FA1B5B" w:rsidP="00FA1B5B">
      <w:pPr>
        <w:numPr>
          <w:ilvl w:val="0"/>
          <w:numId w:val="15"/>
        </w:numPr>
        <w:autoSpaceDE w:val="0"/>
        <w:autoSpaceDN w:val="0"/>
        <w:adjustRightInd w:val="0"/>
        <w:spacing w:before="120" w:after="160" w:line="259" w:lineRule="auto"/>
        <w:ind w:left="357" w:hanging="357"/>
        <w:contextualSpacing/>
        <w:rPr>
          <w:rFonts w:eastAsia="Calibri"/>
          <w:b/>
          <w:color w:val="444444"/>
          <w:sz w:val="24"/>
          <w:szCs w:val="24"/>
        </w:rPr>
      </w:pPr>
      <w:r w:rsidRPr="00C5712F">
        <w:rPr>
          <w:rFonts w:eastAsia="Calibri"/>
          <w:b/>
          <w:color w:val="444444"/>
          <w:sz w:val="24"/>
          <w:szCs w:val="24"/>
        </w:rPr>
        <w:t xml:space="preserve">Name of </w:t>
      </w:r>
      <w:r w:rsidRPr="00C5712F">
        <w:rPr>
          <w:rFonts w:eastAsia="Calibri"/>
          <w:b/>
          <w:color w:val="444444"/>
          <w:sz w:val="22"/>
        </w:rPr>
        <w:t>the State Entity</w:t>
      </w:r>
    </w:p>
    <w:p w14:paraId="513CC346" w14:textId="77777777" w:rsidR="00FA1B5B" w:rsidRPr="00BD1B7C" w:rsidRDefault="00FA1B5B" w:rsidP="00FA1B5B">
      <w:pPr>
        <w:spacing w:after="0" w:line="320" w:lineRule="atLeast"/>
        <w:rPr>
          <w:rFonts w:eastAsia="Arial" w:cs="Times New Roman"/>
          <w:sz w:val="24"/>
          <w:szCs w:val="24"/>
        </w:rPr>
      </w:pPr>
      <w:r w:rsidRPr="00BD1B7C">
        <w:rPr>
          <w:rFonts w:eastAsia="Arial" w:cs="Times New Roman"/>
          <w:sz w:val="24"/>
          <w:szCs w:val="24"/>
        </w:rPr>
        <w:t>Department of Transport and Main Roads</w:t>
      </w:r>
    </w:p>
    <w:p w14:paraId="231C4400" w14:textId="77777777" w:rsidR="00FA1B5B" w:rsidRPr="00BD1B7C" w:rsidRDefault="00FA1B5B" w:rsidP="00FA1B5B">
      <w:pPr>
        <w:spacing w:after="0" w:line="320" w:lineRule="atLeast"/>
        <w:rPr>
          <w:rFonts w:eastAsia="Arial" w:cs="Times New Roman"/>
          <w:sz w:val="24"/>
          <w:szCs w:val="24"/>
        </w:rPr>
      </w:pPr>
    </w:p>
    <w:p w14:paraId="0E69793D" w14:textId="7F9FF35F" w:rsidR="00FA1B5B" w:rsidRPr="00C5712F" w:rsidRDefault="00FA1B5B" w:rsidP="00FA1B5B">
      <w:pPr>
        <w:numPr>
          <w:ilvl w:val="0"/>
          <w:numId w:val="15"/>
        </w:numPr>
        <w:autoSpaceDE w:val="0"/>
        <w:autoSpaceDN w:val="0"/>
        <w:adjustRightInd w:val="0"/>
        <w:spacing w:after="160" w:line="259" w:lineRule="auto"/>
        <w:contextualSpacing/>
        <w:rPr>
          <w:rFonts w:eastAsia="Calibri"/>
          <w:b/>
          <w:bCs/>
          <w:color w:val="333333"/>
          <w:sz w:val="24"/>
          <w:szCs w:val="24"/>
        </w:rPr>
      </w:pPr>
      <w:r w:rsidRPr="00C5712F">
        <w:rPr>
          <w:rFonts w:eastAsia="Calibri"/>
          <w:b/>
          <w:bCs/>
          <w:color w:val="333333"/>
          <w:sz w:val="24"/>
          <w:szCs w:val="24"/>
        </w:rPr>
        <w:t xml:space="preserve">Please list the types and amounts of waste generated, </w:t>
      </w:r>
      <w:proofErr w:type="gramStart"/>
      <w:r w:rsidRPr="00C5712F">
        <w:rPr>
          <w:rFonts w:eastAsia="Calibri"/>
          <w:b/>
          <w:bCs/>
          <w:color w:val="333333"/>
          <w:sz w:val="24"/>
          <w:szCs w:val="24"/>
        </w:rPr>
        <w:t>recycled</w:t>
      </w:r>
      <w:proofErr w:type="gramEnd"/>
      <w:r w:rsidRPr="00C5712F">
        <w:rPr>
          <w:rFonts w:eastAsia="Calibri"/>
          <w:b/>
          <w:bCs/>
          <w:color w:val="333333"/>
          <w:sz w:val="24"/>
          <w:szCs w:val="24"/>
        </w:rPr>
        <w:t xml:space="preserve"> or disposed of by your department/agency in carrying out its activities during 2022–23.</w:t>
      </w:r>
    </w:p>
    <w:p w14:paraId="36488118" w14:textId="77777777" w:rsidR="00FA1B5B" w:rsidRPr="00C5712F" w:rsidRDefault="00FA1B5B" w:rsidP="00FA1B5B">
      <w:pPr>
        <w:autoSpaceDE w:val="0"/>
        <w:autoSpaceDN w:val="0"/>
        <w:adjustRightInd w:val="0"/>
        <w:spacing w:after="160" w:line="259" w:lineRule="auto"/>
        <w:contextualSpacing/>
        <w:rPr>
          <w:rFonts w:eastAsia="Calibri"/>
          <w:b/>
          <w:bCs/>
          <w:color w:val="333333"/>
          <w:sz w:val="24"/>
          <w:szCs w:val="24"/>
        </w:rPr>
      </w:pPr>
    </w:p>
    <w:p w14:paraId="7F5CC657" w14:textId="65824EC3" w:rsidR="00FA1B5B" w:rsidRPr="00BD1B7C" w:rsidRDefault="00FA1B5B" w:rsidP="00FA1B5B">
      <w:pPr>
        <w:spacing w:after="0" w:line="320" w:lineRule="atLeast"/>
        <w:rPr>
          <w:rFonts w:eastAsia="Arial" w:cs="Times New Roman"/>
          <w:sz w:val="24"/>
          <w:szCs w:val="24"/>
        </w:rPr>
      </w:pPr>
      <w:r w:rsidRPr="00BD1B7C">
        <w:rPr>
          <w:rFonts w:eastAsia="Arial" w:cs="Times New Roman"/>
          <w:sz w:val="24"/>
          <w:szCs w:val="24"/>
        </w:rPr>
        <w:t xml:space="preserve">A summary of the combined TMR waste amounts from all sources is provided in </w:t>
      </w:r>
      <w:r w:rsidR="00FC27D9">
        <w:rPr>
          <w:rFonts w:eastAsia="Arial" w:cs="Times New Roman"/>
          <w:b/>
          <w:color w:val="000000" w:themeColor="text1"/>
          <w:sz w:val="24"/>
          <w:szCs w:val="24"/>
          <w:shd w:val="clear" w:color="auto" w:fill="E6E6E6"/>
        </w:rPr>
        <w:t xml:space="preserve">Table </w:t>
      </w:r>
      <w:r w:rsidR="00C5712F">
        <w:rPr>
          <w:rFonts w:eastAsia="Arial" w:cs="Times New Roman"/>
          <w:b/>
          <w:color w:val="000000" w:themeColor="text1"/>
          <w:sz w:val="24"/>
          <w:szCs w:val="24"/>
          <w:shd w:val="clear" w:color="auto" w:fill="E6E6E6"/>
        </w:rPr>
        <w:t>4</w:t>
      </w:r>
      <w:r w:rsidR="00C5712F" w:rsidRPr="00C5712F">
        <w:rPr>
          <w:rFonts w:eastAsia="Arial" w:cs="Times New Roman"/>
          <w:b/>
          <w:color w:val="000000" w:themeColor="text1"/>
          <w:sz w:val="24"/>
          <w:szCs w:val="24"/>
          <w:shd w:val="clear" w:color="auto" w:fill="E6E6E6"/>
        </w:rPr>
        <w:t>.</w:t>
      </w:r>
      <w:r w:rsidRPr="00C5712F">
        <w:rPr>
          <w:rFonts w:eastAsia="Arial" w:cs="Times New Roman"/>
          <w:color w:val="000000" w:themeColor="text1"/>
          <w:sz w:val="24"/>
          <w:szCs w:val="24"/>
        </w:rPr>
        <w:t xml:space="preserve"> </w:t>
      </w:r>
      <w:r w:rsidRPr="00BD1B7C">
        <w:rPr>
          <w:rFonts w:eastAsia="Arial" w:cs="Times New Roman"/>
          <w:sz w:val="24"/>
          <w:szCs w:val="24"/>
        </w:rPr>
        <w:t xml:space="preserve">The table identifies the amounts generated, diverted (reused and recycled combined) and disposed to landfill. The summarising diversion rate is the amount diverted from landfill as a percentage of the amount generated by waste stream.  </w:t>
      </w:r>
    </w:p>
    <w:p w14:paraId="2531E5C1" w14:textId="6F75BDAE" w:rsidR="00FA1B5B" w:rsidRPr="00C5712F" w:rsidRDefault="00FA1B5B" w:rsidP="00FA1B5B">
      <w:pPr>
        <w:keepNext/>
        <w:tabs>
          <w:tab w:val="left" w:pos="1134"/>
        </w:tabs>
        <w:spacing w:before="240" w:after="120" w:line="260" w:lineRule="atLeast"/>
        <w:ind w:left="1134" w:hanging="1134"/>
        <w:rPr>
          <w:rFonts w:eastAsia="Times New Roman"/>
          <w:b/>
          <w:i/>
          <w:iCs/>
          <w:color w:val="002060"/>
          <w:sz w:val="24"/>
          <w:szCs w:val="24"/>
          <w:lang w:eastAsia="en-AU"/>
        </w:rPr>
      </w:pPr>
      <w:bookmarkStart w:id="43" w:name="_Ref144733319"/>
      <w:r w:rsidRPr="00C5712F">
        <w:rPr>
          <w:rFonts w:eastAsia="Times New Roman"/>
          <w:b/>
          <w:i/>
          <w:iCs/>
          <w:color w:val="002060"/>
          <w:sz w:val="24"/>
          <w:szCs w:val="24"/>
          <w:lang w:eastAsia="en-AU"/>
        </w:rPr>
        <w:t xml:space="preserve">Table </w:t>
      </w:r>
      <w:r w:rsidR="00C5712F">
        <w:rPr>
          <w:rFonts w:eastAsia="Times New Roman"/>
          <w:b/>
          <w:i/>
          <w:iCs/>
          <w:color w:val="002060"/>
          <w:sz w:val="24"/>
          <w:szCs w:val="24"/>
          <w:shd w:val="clear" w:color="auto" w:fill="E6E6E6"/>
          <w:lang w:eastAsia="en-AU"/>
        </w:rPr>
        <w:t>4</w:t>
      </w:r>
      <w:r w:rsidRPr="00C5712F">
        <w:rPr>
          <w:rFonts w:eastAsia="Times New Roman"/>
          <w:b/>
          <w:i/>
          <w:iCs/>
          <w:color w:val="002060"/>
          <w:sz w:val="24"/>
          <w:szCs w:val="24"/>
          <w:shd w:val="clear" w:color="auto" w:fill="E6E6E6"/>
          <w:lang w:eastAsia="en-AU"/>
        </w:rPr>
        <w:t>:</w:t>
      </w:r>
      <w:r w:rsidRPr="00C5712F">
        <w:rPr>
          <w:rFonts w:eastAsia="Times New Roman"/>
          <w:b/>
          <w:i/>
          <w:iCs/>
          <w:color w:val="002060"/>
          <w:sz w:val="24"/>
          <w:szCs w:val="24"/>
          <w:lang w:eastAsia="en-AU"/>
        </w:rPr>
        <w:t xml:space="preserve"> Annual TMR waste data summary 2022–2023</w:t>
      </w:r>
      <w:bookmarkEnd w:id="43"/>
      <w:r w:rsidR="00C5712F">
        <w:rPr>
          <w:rFonts w:eastAsia="Times New Roman"/>
          <w:b/>
          <w:i/>
          <w:iCs/>
          <w:color w:val="002060"/>
          <w:sz w:val="24"/>
          <w:szCs w:val="24"/>
          <w:lang w:eastAsia="en-AU"/>
        </w:rPr>
        <w:t>.</w:t>
      </w:r>
    </w:p>
    <w:tbl>
      <w:tblPr>
        <w:tblStyle w:val="NavyTable"/>
        <w:tblW w:w="4809" w:type="pct"/>
        <w:tblInd w:w="0" w:type="dxa"/>
        <w:tblLook w:val="06A0" w:firstRow="1" w:lastRow="0" w:firstColumn="1" w:lastColumn="0" w:noHBand="1" w:noVBand="1"/>
      </w:tblPr>
      <w:tblGrid>
        <w:gridCol w:w="4578"/>
        <w:gridCol w:w="1287"/>
        <w:gridCol w:w="1107"/>
        <w:gridCol w:w="1207"/>
        <w:gridCol w:w="1327"/>
      </w:tblGrid>
      <w:tr w:rsidR="00FA1B5B" w:rsidRPr="00FA1B5B" w14:paraId="4BDB0C0C" w14:textId="77777777" w:rsidTr="00FA1B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3" w:type="pct"/>
            <w:noWrap/>
            <w:hideMark/>
          </w:tcPr>
          <w:p w14:paraId="0647D131" w14:textId="6DB6657B" w:rsidR="00FA1B5B" w:rsidRPr="00FA1B5B" w:rsidRDefault="00FA1B5B" w:rsidP="00FA1B5B">
            <w:pPr>
              <w:spacing w:before="60" w:after="60"/>
              <w:rPr>
                <w:rFonts w:eastAsia="Times New Roman"/>
                <w:sz w:val="18"/>
                <w:szCs w:val="24"/>
                <w:lang w:eastAsia="en-AU"/>
              </w:rPr>
            </w:pPr>
            <w:r w:rsidRPr="00FA1B5B">
              <w:rPr>
                <w:rFonts w:eastAsia="Times New Roman"/>
                <w:sz w:val="18"/>
                <w:szCs w:val="24"/>
                <w:lang w:eastAsia="en-AU"/>
              </w:rPr>
              <w:t xml:space="preserve">Waste </w:t>
            </w:r>
            <w:r w:rsidR="00C5712F">
              <w:rPr>
                <w:rFonts w:eastAsia="Times New Roman"/>
                <w:sz w:val="18"/>
                <w:szCs w:val="24"/>
                <w:lang w:eastAsia="en-AU"/>
              </w:rPr>
              <w:t>s</w:t>
            </w:r>
            <w:r w:rsidRPr="00FA1B5B">
              <w:rPr>
                <w:rFonts w:eastAsia="Times New Roman"/>
                <w:sz w:val="18"/>
                <w:szCs w:val="24"/>
                <w:lang w:eastAsia="en-AU"/>
              </w:rPr>
              <w:t>tream</w:t>
            </w:r>
          </w:p>
        </w:tc>
        <w:tc>
          <w:tcPr>
            <w:tcW w:w="718" w:type="pct"/>
            <w:noWrap/>
            <w:hideMark/>
          </w:tcPr>
          <w:p w14:paraId="0C31017F" w14:textId="77777777"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Generated (t)</w:t>
            </w:r>
          </w:p>
        </w:tc>
        <w:tc>
          <w:tcPr>
            <w:tcW w:w="741" w:type="pct"/>
            <w:noWrap/>
            <w:hideMark/>
          </w:tcPr>
          <w:p w14:paraId="4F131D8F" w14:textId="77777777"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Diverted (t)</w:t>
            </w:r>
          </w:p>
        </w:tc>
        <w:tc>
          <w:tcPr>
            <w:tcW w:w="736" w:type="pct"/>
            <w:noWrap/>
            <w:hideMark/>
          </w:tcPr>
          <w:p w14:paraId="2B61C82C" w14:textId="77777777"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Landfilled (t)</w:t>
            </w:r>
          </w:p>
        </w:tc>
        <w:tc>
          <w:tcPr>
            <w:tcW w:w="641" w:type="pct"/>
            <w:noWrap/>
            <w:hideMark/>
          </w:tcPr>
          <w:p w14:paraId="614915ED" w14:textId="77777777"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Diversion rate</w:t>
            </w:r>
          </w:p>
        </w:tc>
      </w:tr>
      <w:tr w:rsidR="00FA1B5B" w:rsidRPr="00FA1B5B" w14:paraId="593848B6"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D6A183B" w14:textId="5A320D15"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Excess </w:t>
            </w:r>
            <w:r w:rsidR="00F90FC5">
              <w:rPr>
                <w:rFonts w:eastAsia="Times New Roman" w:cs="Times New Roman"/>
                <w:sz w:val="18"/>
                <w:szCs w:val="24"/>
                <w:lang w:eastAsia="en-AU"/>
              </w:rPr>
              <w:t>e</w:t>
            </w:r>
            <w:r w:rsidRPr="00FA1B5B">
              <w:rPr>
                <w:rFonts w:eastAsia="Times New Roman" w:cs="Times New Roman"/>
                <w:sz w:val="18"/>
                <w:szCs w:val="24"/>
                <w:lang w:eastAsia="en-AU"/>
              </w:rPr>
              <w:t>arthworks</w:t>
            </w:r>
            <w:r w:rsidR="00C739EB">
              <w:rPr>
                <w:rFonts w:eastAsia="Times New Roman" w:cs="Times New Roman"/>
                <w:sz w:val="18"/>
                <w:szCs w:val="24"/>
                <w:lang w:eastAsia="en-AU"/>
              </w:rPr>
              <w:t>/</w:t>
            </w:r>
            <w:r w:rsidR="00F90FC5">
              <w:rPr>
                <w:rFonts w:eastAsia="Times New Roman" w:cs="Times New Roman"/>
                <w:sz w:val="18"/>
                <w:szCs w:val="24"/>
                <w:lang w:eastAsia="en-AU"/>
              </w:rPr>
              <w:t>e</w:t>
            </w:r>
            <w:r w:rsidRPr="00FA1B5B">
              <w:rPr>
                <w:rFonts w:eastAsia="Times New Roman" w:cs="Times New Roman"/>
                <w:sz w:val="18"/>
                <w:szCs w:val="24"/>
                <w:lang w:eastAsia="en-AU"/>
              </w:rPr>
              <w:t>mbankment</w:t>
            </w:r>
            <w:r w:rsidR="00C739EB">
              <w:rPr>
                <w:rFonts w:eastAsia="Times New Roman" w:cs="Times New Roman"/>
                <w:sz w:val="18"/>
                <w:szCs w:val="24"/>
                <w:lang w:eastAsia="en-AU"/>
              </w:rPr>
              <w:t>/</w:t>
            </w:r>
            <w:r w:rsidR="00F90FC5">
              <w:rPr>
                <w:rFonts w:eastAsia="Times New Roman" w:cs="Times New Roman"/>
                <w:sz w:val="18"/>
                <w:szCs w:val="24"/>
                <w:lang w:eastAsia="en-AU"/>
              </w:rPr>
              <w:t>f</w:t>
            </w:r>
            <w:r w:rsidRPr="00FA1B5B">
              <w:rPr>
                <w:rFonts w:eastAsia="Times New Roman" w:cs="Times New Roman"/>
                <w:sz w:val="18"/>
                <w:szCs w:val="24"/>
                <w:lang w:eastAsia="en-AU"/>
              </w:rPr>
              <w:t>ill</w:t>
            </w:r>
          </w:p>
        </w:tc>
        <w:tc>
          <w:tcPr>
            <w:tcW w:w="718" w:type="pct"/>
            <w:noWrap/>
            <w:vAlign w:val="bottom"/>
            <w:hideMark/>
          </w:tcPr>
          <w:p w14:paraId="5A304A2D"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1,012,747 </w:t>
            </w:r>
          </w:p>
        </w:tc>
        <w:tc>
          <w:tcPr>
            <w:tcW w:w="741" w:type="pct"/>
            <w:noWrap/>
            <w:vAlign w:val="bottom"/>
            <w:hideMark/>
          </w:tcPr>
          <w:p w14:paraId="099A89C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824,215 </w:t>
            </w:r>
          </w:p>
        </w:tc>
        <w:tc>
          <w:tcPr>
            <w:tcW w:w="736" w:type="pct"/>
            <w:noWrap/>
            <w:vAlign w:val="bottom"/>
            <w:hideMark/>
          </w:tcPr>
          <w:p w14:paraId="08A43A3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190,112 </w:t>
            </w:r>
          </w:p>
        </w:tc>
        <w:tc>
          <w:tcPr>
            <w:tcW w:w="641" w:type="pct"/>
            <w:noWrap/>
            <w:vAlign w:val="bottom"/>
            <w:hideMark/>
          </w:tcPr>
          <w:p w14:paraId="1F59F5D2"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81%</w:t>
            </w:r>
          </w:p>
        </w:tc>
      </w:tr>
      <w:tr w:rsidR="00FA1B5B" w:rsidRPr="00FA1B5B" w14:paraId="4DBEA100"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5F4A5CA3" w14:textId="77777777"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Vegetation</w:t>
            </w:r>
          </w:p>
        </w:tc>
        <w:tc>
          <w:tcPr>
            <w:tcW w:w="718" w:type="pct"/>
            <w:noWrap/>
            <w:vAlign w:val="bottom"/>
            <w:hideMark/>
          </w:tcPr>
          <w:p w14:paraId="42D0AFFB"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123,953 </w:t>
            </w:r>
          </w:p>
        </w:tc>
        <w:tc>
          <w:tcPr>
            <w:tcW w:w="741" w:type="pct"/>
            <w:noWrap/>
            <w:vAlign w:val="bottom"/>
            <w:hideMark/>
          </w:tcPr>
          <w:p w14:paraId="5AFC170F"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118,270 </w:t>
            </w:r>
          </w:p>
        </w:tc>
        <w:tc>
          <w:tcPr>
            <w:tcW w:w="736" w:type="pct"/>
            <w:noWrap/>
            <w:vAlign w:val="bottom"/>
            <w:hideMark/>
          </w:tcPr>
          <w:p w14:paraId="140D835A"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5,683 </w:t>
            </w:r>
          </w:p>
        </w:tc>
        <w:tc>
          <w:tcPr>
            <w:tcW w:w="641" w:type="pct"/>
            <w:noWrap/>
            <w:vAlign w:val="bottom"/>
            <w:hideMark/>
          </w:tcPr>
          <w:p w14:paraId="6574D28F"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95%</w:t>
            </w:r>
          </w:p>
        </w:tc>
      </w:tr>
      <w:tr w:rsidR="00FA1B5B" w:rsidRPr="00FA1B5B" w14:paraId="694F8411"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53349CE" w14:textId="77777777"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Acid Sulphate Soil</w:t>
            </w:r>
          </w:p>
        </w:tc>
        <w:tc>
          <w:tcPr>
            <w:tcW w:w="718" w:type="pct"/>
            <w:noWrap/>
            <w:vAlign w:val="bottom"/>
            <w:hideMark/>
          </w:tcPr>
          <w:p w14:paraId="3BA31E48"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108,674 </w:t>
            </w:r>
          </w:p>
        </w:tc>
        <w:tc>
          <w:tcPr>
            <w:tcW w:w="741" w:type="pct"/>
            <w:noWrap/>
            <w:vAlign w:val="bottom"/>
            <w:hideMark/>
          </w:tcPr>
          <w:p w14:paraId="7BCD7DB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108,674 </w:t>
            </w:r>
          </w:p>
        </w:tc>
        <w:tc>
          <w:tcPr>
            <w:tcW w:w="736" w:type="pct"/>
            <w:noWrap/>
            <w:vAlign w:val="bottom"/>
            <w:hideMark/>
          </w:tcPr>
          <w:p w14:paraId="155C6285"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4"/>
                <w:lang w:eastAsia="en-AU"/>
              </w:rPr>
            </w:pPr>
            <w:r w:rsidRPr="00FA1B5B">
              <w:rPr>
                <w:rFonts w:eastAsia="Times New Roman" w:cs="Times New Roman"/>
                <w:sz w:val="18"/>
                <w:szCs w:val="24"/>
                <w:lang w:eastAsia="en-AU"/>
              </w:rPr>
              <w:t>0</w:t>
            </w:r>
          </w:p>
        </w:tc>
        <w:tc>
          <w:tcPr>
            <w:tcW w:w="641" w:type="pct"/>
            <w:noWrap/>
            <w:vAlign w:val="bottom"/>
            <w:hideMark/>
          </w:tcPr>
          <w:p w14:paraId="143C532C"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100%</w:t>
            </w:r>
          </w:p>
        </w:tc>
      </w:tr>
      <w:tr w:rsidR="00FA1B5B" w:rsidRPr="00FA1B5B" w14:paraId="7CEF7A10"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A8A6C26" w14:textId="495CD1DE"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Other </w:t>
            </w:r>
            <w:r w:rsidR="00F90FC5">
              <w:rPr>
                <w:rFonts w:eastAsia="Times New Roman" w:cs="Times New Roman"/>
                <w:sz w:val="18"/>
                <w:szCs w:val="24"/>
                <w:lang w:eastAsia="en-AU"/>
              </w:rPr>
              <w:t>c</w:t>
            </w:r>
            <w:r w:rsidRPr="00FA1B5B">
              <w:rPr>
                <w:rFonts w:eastAsia="Times New Roman" w:cs="Times New Roman"/>
                <w:sz w:val="18"/>
                <w:szCs w:val="24"/>
                <w:lang w:eastAsia="en-AU"/>
              </w:rPr>
              <w:t xml:space="preserve">ontaminated </w:t>
            </w:r>
            <w:r w:rsidR="00F90FC5">
              <w:rPr>
                <w:rFonts w:eastAsia="Times New Roman" w:cs="Times New Roman"/>
                <w:sz w:val="18"/>
                <w:szCs w:val="24"/>
                <w:lang w:eastAsia="en-AU"/>
              </w:rPr>
              <w:t>e</w:t>
            </w:r>
            <w:r w:rsidRPr="00FA1B5B">
              <w:rPr>
                <w:rFonts w:eastAsia="Times New Roman" w:cs="Times New Roman"/>
                <w:sz w:val="18"/>
                <w:szCs w:val="24"/>
                <w:lang w:eastAsia="en-AU"/>
              </w:rPr>
              <w:t>arthworks</w:t>
            </w:r>
          </w:p>
        </w:tc>
        <w:tc>
          <w:tcPr>
            <w:tcW w:w="718" w:type="pct"/>
            <w:noWrap/>
            <w:vAlign w:val="bottom"/>
            <w:hideMark/>
          </w:tcPr>
          <w:p w14:paraId="1B63BDD5"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3,679 </w:t>
            </w:r>
          </w:p>
        </w:tc>
        <w:tc>
          <w:tcPr>
            <w:tcW w:w="741" w:type="pct"/>
            <w:noWrap/>
            <w:vAlign w:val="bottom"/>
            <w:hideMark/>
          </w:tcPr>
          <w:p w14:paraId="5C76478E"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3,414 </w:t>
            </w:r>
          </w:p>
        </w:tc>
        <w:tc>
          <w:tcPr>
            <w:tcW w:w="736" w:type="pct"/>
            <w:noWrap/>
            <w:vAlign w:val="bottom"/>
            <w:hideMark/>
          </w:tcPr>
          <w:p w14:paraId="40A3EEBF"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265 </w:t>
            </w:r>
          </w:p>
        </w:tc>
        <w:tc>
          <w:tcPr>
            <w:tcW w:w="641" w:type="pct"/>
            <w:noWrap/>
            <w:vAlign w:val="bottom"/>
            <w:hideMark/>
          </w:tcPr>
          <w:p w14:paraId="6C0AFF42"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93%</w:t>
            </w:r>
          </w:p>
        </w:tc>
      </w:tr>
      <w:tr w:rsidR="00FA1B5B" w:rsidRPr="00FA1B5B" w14:paraId="43641814"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0A2AB805" w14:textId="61C9945B"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Regulated </w:t>
            </w:r>
            <w:r w:rsidR="00F90FC5">
              <w:rPr>
                <w:rFonts w:eastAsia="Times New Roman" w:cs="Times New Roman"/>
                <w:sz w:val="18"/>
                <w:szCs w:val="24"/>
                <w:lang w:eastAsia="en-AU"/>
              </w:rPr>
              <w:t>w</w:t>
            </w:r>
            <w:r w:rsidRPr="00FA1B5B">
              <w:rPr>
                <w:rFonts w:eastAsia="Times New Roman" w:cs="Times New Roman"/>
                <w:sz w:val="18"/>
                <w:szCs w:val="24"/>
                <w:lang w:eastAsia="en-AU"/>
              </w:rPr>
              <w:t xml:space="preserve">aste </w:t>
            </w:r>
            <w:r w:rsidR="00F90FC5">
              <w:rPr>
                <w:rFonts w:eastAsia="Times New Roman" w:cs="Times New Roman"/>
                <w:sz w:val="18"/>
                <w:szCs w:val="24"/>
                <w:lang w:eastAsia="en-AU"/>
              </w:rPr>
              <w:t>c</w:t>
            </w:r>
            <w:r w:rsidRPr="00FA1B5B">
              <w:rPr>
                <w:rFonts w:eastAsia="Times New Roman" w:cs="Times New Roman"/>
                <w:sz w:val="18"/>
                <w:szCs w:val="24"/>
                <w:lang w:eastAsia="en-AU"/>
              </w:rPr>
              <w:t>at 1</w:t>
            </w:r>
          </w:p>
        </w:tc>
        <w:tc>
          <w:tcPr>
            <w:tcW w:w="718" w:type="pct"/>
            <w:noWrap/>
            <w:vAlign w:val="bottom"/>
            <w:hideMark/>
          </w:tcPr>
          <w:p w14:paraId="23E2433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490 </w:t>
            </w:r>
          </w:p>
        </w:tc>
        <w:tc>
          <w:tcPr>
            <w:tcW w:w="741" w:type="pct"/>
            <w:noWrap/>
            <w:vAlign w:val="bottom"/>
            <w:hideMark/>
          </w:tcPr>
          <w:p w14:paraId="3A38DBE3"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0</w:t>
            </w:r>
          </w:p>
        </w:tc>
        <w:tc>
          <w:tcPr>
            <w:tcW w:w="736" w:type="pct"/>
            <w:noWrap/>
            <w:vAlign w:val="bottom"/>
            <w:hideMark/>
          </w:tcPr>
          <w:p w14:paraId="32585D92"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489 </w:t>
            </w:r>
          </w:p>
        </w:tc>
        <w:tc>
          <w:tcPr>
            <w:tcW w:w="641" w:type="pct"/>
            <w:noWrap/>
            <w:vAlign w:val="bottom"/>
            <w:hideMark/>
          </w:tcPr>
          <w:p w14:paraId="030A762C"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0%</w:t>
            </w:r>
          </w:p>
        </w:tc>
      </w:tr>
      <w:tr w:rsidR="00FA1B5B" w:rsidRPr="00FA1B5B" w14:paraId="0AF3811C"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71FC838B" w14:textId="6CB61010"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Regulated </w:t>
            </w:r>
            <w:r w:rsidR="00F90FC5">
              <w:rPr>
                <w:rFonts w:eastAsia="Times New Roman" w:cs="Times New Roman"/>
                <w:sz w:val="18"/>
                <w:szCs w:val="24"/>
                <w:lang w:eastAsia="en-AU"/>
              </w:rPr>
              <w:t>w</w:t>
            </w:r>
            <w:r w:rsidR="00F90FC5" w:rsidRPr="00FA1B5B">
              <w:rPr>
                <w:rFonts w:eastAsia="Times New Roman" w:cs="Times New Roman"/>
                <w:sz w:val="18"/>
                <w:szCs w:val="24"/>
                <w:lang w:eastAsia="en-AU"/>
              </w:rPr>
              <w:t xml:space="preserve">aste </w:t>
            </w:r>
            <w:r w:rsidR="00F90FC5">
              <w:rPr>
                <w:rFonts w:eastAsia="Times New Roman" w:cs="Times New Roman"/>
                <w:sz w:val="18"/>
                <w:szCs w:val="24"/>
                <w:lang w:eastAsia="en-AU"/>
              </w:rPr>
              <w:t>c</w:t>
            </w:r>
            <w:r w:rsidR="00F90FC5" w:rsidRPr="00FA1B5B">
              <w:rPr>
                <w:rFonts w:eastAsia="Times New Roman" w:cs="Times New Roman"/>
                <w:sz w:val="18"/>
                <w:szCs w:val="24"/>
                <w:lang w:eastAsia="en-AU"/>
              </w:rPr>
              <w:t xml:space="preserve">at </w:t>
            </w:r>
            <w:r w:rsidRPr="00FA1B5B">
              <w:rPr>
                <w:rFonts w:eastAsia="Times New Roman" w:cs="Times New Roman"/>
                <w:sz w:val="18"/>
                <w:szCs w:val="24"/>
                <w:lang w:eastAsia="en-AU"/>
              </w:rPr>
              <w:t>2</w:t>
            </w:r>
          </w:p>
        </w:tc>
        <w:tc>
          <w:tcPr>
            <w:tcW w:w="718" w:type="pct"/>
            <w:noWrap/>
            <w:vAlign w:val="bottom"/>
            <w:hideMark/>
          </w:tcPr>
          <w:p w14:paraId="7F4F58E3"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1,822 </w:t>
            </w:r>
          </w:p>
        </w:tc>
        <w:tc>
          <w:tcPr>
            <w:tcW w:w="741" w:type="pct"/>
            <w:noWrap/>
            <w:vAlign w:val="bottom"/>
            <w:hideMark/>
          </w:tcPr>
          <w:p w14:paraId="2212042A"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688 </w:t>
            </w:r>
          </w:p>
        </w:tc>
        <w:tc>
          <w:tcPr>
            <w:tcW w:w="736" w:type="pct"/>
            <w:noWrap/>
            <w:vAlign w:val="bottom"/>
            <w:hideMark/>
          </w:tcPr>
          <w:p w14:paraId="283670F0"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1,134 </w:t>
            </w:r>
          </w:p>
        </w:tc>
        <w:tc>
          <w:tcPr>
            <w:tcW w:w="641" w:type="pct"/>
            <w:noWrap/>
            <w:vAlign w:val="bottom"/>
            <w:hideMark/>
          </w:tcPr>
          <w:p w14:paraId="4B976B12"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38%</w:t>
            </w:r>
          </w:p>
        </w:tc>
      </w:tr>
      <w:tr w:rsidR="00FA1B5B" w:rsidRPr="00FA1B5B" w14:paraId="07BE1884"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3AACD468" w14:textId="1F932323"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Septic </w:t>
            </w:r>
            <w:r w:rsidR="00F90FC5">
              <w:rPr>
                <w:rFonts w:eastAsia="Times New Roman" w:cs="Times New Roman"/>
                <w:sz w:val="18"/>
                <w:szCs w:val="24"/>
                <w:lang w:eastAsia="en-AU"/>
              </w:rPr>
              <w:t>g</w:t>
            </w:r>
            <w:r w:rsidR="00F90FC5" w:rsidRPr="00FA1B5B">
              <w:rPr>
                <w:rFonts w:eastAsia="Times New Roman" w:cs="Times New Roman"/>
                <w:sz w:val="18"/>
                <w:szCs w:val="24"/>
                <w:lang w:eastAsia="en-AU"/>
              </w:rPr>
              <w:t>eneral</w:t>
            </w:r>
          </w:p>
        </w:tc>
        <w:tc>
          <w:tcPr>
            <w:tcW w:w="718" w:type="pct"/>
            <w:noWrap/>
            <w:vAlign w:val="bottom"/>
            <w:hideMark/>
          </w:tcPr>
          <w:p w14:paraId="135D6D5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269,342 </w:t>
            </w:r>
          </w:p>
        </w:tc>
        <w:tc>
          <w:tcPr>
            <w:tcW w:w="741" w:type="pct"/>
            <w:noWrap/>
            <w:vAlign w:val="bottom"/>
            <w:hideMark/>
          </w:tcPr>
          <w:p w14:paraId="0237F74D"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50 </w:t>
            </w:r>
          </w:p>
        </w:tc>
        <w:tc>
          <w:tcPr>
            <w:tcW w:w="736" w:type="pct"/>
            <w:noWrap/>
            <w:vAlign w:val="bottom"/>
            <w:hideMark/>
          </w:tcPr>
          <w:p w14:paraId="3816F8E6"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269,291 </w:t>
            </w:r>
          </w:p>
        </w:tc>
        <w:tc>
          <w:tcPr>
            <w:tcW w:w="641" w:type="pct"/>
            <w:noWrap/>
            <w:vAlign w:val="bottom"/>
            <w:hideMark/>
          </w:tcPr>
          <w:p w14:paraId="645764AC"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0%</w:t>
            </w:r>
          </w:p>
        </w:tc>
      </w:tr>
      <w:tr w:rsidR="00FA1B5B" w:rsidRPr="00FA1B5B" w14:paraId="0F28DEF5"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2BF475D" w14:textId="6AB7A9CA"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Asphalt and </w:t>
            </w:r>
            <w:r w:rsidR="00F90FC5">
              <w:rPr>
                <w:rFonts w:eastAsia="Times New Roman" w:cs="Times New Roman"/>
                <w:sz w:val="18"/>
                <w:szCs w:val="24"/>
                <w:lang w:eastAsia="en-AU"/>
              </w:rPr>
              <w:t>p</w:t>
            </w:r>
            <w:r w:rsidR="00F90FC5" w:rsidRPr="00FA1B5B">
              <w:rPr>
                <w:rFonts w:eastAsia="Times New Roman" w:cs="Times New Roman"/>
                <w:sz w:val="18"/>
                <w:szCs w:val="24"/>
                <w:lang w:eastAsia="en-AU"/>
              </w:rPr>
              <w:t xml:space="preserve">rofiles </w:t>
            </w:r>
            <w:r w:rsidRPr="00FA1B5B">
              <w:rPr>
                <w:rFonts w:eastAsia="Times New Roman" w:cs="Times New Roman"/>
                <w:sz w:val="18"/>
                <w:szCs w:val="24"/>
                <w:lang w:eastAsia="en-AU"/>
              </w:rPr>
              <w:t>(RAP)</w:t>
            </w:r>
          </w:p>
        </w:tc>
        <w:tc>
          <w:tcPr>
            <w:tcW w:w="718" w:type="pct"/>
            <w:noWrap/>
            <w:vAlign w:val="bottom"/>
            <w:hideMark/>
          </w:tcPr>
          <w:p w14:paraId="1F21723C"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282,507 </w:t>
            </w:r>
          </w:p>
        </w:tc>
        <w:tc>
          <w:tcPr>
            <w:tcW w:w="741" w:type="pct"/>
            <w:noWrap/>
            <w:vAlign w:val="bottom"/>
            <w:hideMark/>
          </w:tcPr>
          <w:p w14:paraId="61282B28"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261,106 </w:t>
            </w:r>
          </w:p>
        </w:tc>
        <w:tc>
          <w:tcPr>
            <w:tcW w:w="736" w:type="pct"/>
            <w:noWrap/>
            <w:vAlign w:val="bottom"/>
            <w:hideMark/>
          </w:tcPr>
          <w:p w14:paraId="5D0C82AF"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21,482 </w:t>
            </w:r>
          </w:p>
        </w:tc>
        <w:tc>
          <w:tcPr>
            <w:tcW w:w="641" w:type="pct"/>
            <w:noWrap/>
            <w:vAlign w:val="bottom"/>
            <w:hideMark/>
          </w:tcPr>
          <w:p w14:paraId="43FE55A8"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92%</w:t>
            </w:r>
          </w:p>
        </w:tc>
      </w:tr>
      <w:tr w:rsidR="00FA1B5B" w:rsidRPr="00FA1B5B" w14:paraId="576C8AA4"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DFE1713" w14:textId="3D23AA9F"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Other </w:t>
            </w:r>
            <w:r w:rsidR="00F90FC5">
              <w:rPr>
                <w:rFonts w:eastAsia="Times New Roman" w:cs="Times New Roman"/>
                <w:sz w:val="18"/>
                <w:szCs w:val="24"/>
                <w:lang w:eastAsia="en-AU"/>
              </w:rPr>
              <w:t>r</w:t>
            </w:r>
            <w:r w:rsidR="00F90FC5" w:rsidRPr="00FA1B5B">
              <w:rPr>
                <w:rFonts w:eastAsia="Times New Roman" w:cs="Times New Roman"/>
                <w:sz w:val="18"/>
                <w:szCs w:val="24"/>
                <w:lang w:eastAsia="en-AU"/>
              </w:rPr>
              <w:t xml:space="preserve">ecovered </w:t>
            </w:r>
            <w:r w:rsidR="00C5712F">
              <w:rPr>
                <w:rFonts w:eastAsia="Times New Roman" w:cs="Times New Roman"/>
                <w:sz w:val="18"/>
                <w:szCs w:val="24"/>
                <w:lang w:eastAsia="en-AU"/>
              </w:rPr>
              <w:t>p</w:t>
            </w:r>
            <w:r w:rsidR="00F90FC5" w:rsidRPr="00FA1B5B">
              <w:rPr>
                <w:rFonts w:eastAsia="Times New Roman" w:cs="Times New Roman"/>
                <w:sz w:val="18"/>
                <w:szCs w:val="24"/>
                <w:lang w:eastAsia="en-AU"/>
              </w:rPr>
              <w:t xml:space="preserve">avement </w:t>
            </w:r>
            <w:r w:rsidR="00C5712F">
              <w:rPr>
                <w:rFonts w:eastAsia="Times New Roman" w:cs="Times New Roman"/>
                <w:sz w:val="18"/>
                <w:szCs w:val="24"/>
                <w:lang w:eastAsia="en-AU"/>
              </w:rPr>
              <w:t>m</w:t>
            </w:r>
            <w:r w:rsidR="00F90FC5" w:rsidRPr="00FA1B5B">
              <w:rPr>
                <w:rFonts w:eastAsia="Times New Roman" w:cs="Times New Roman"/>
                <w:sz w:val="18"/>
                <w:szCs w:val="24"/>
                <w:lang w:eastAsia="en-AU"/>
              </w:rPr>
              <w:t>aterials</w:t>
            </w:r>
          </w:p>
        </w:tc>
        <w:tc>
          <w:tcPr>
            <w:tcW w:w="718" w:type="pct"/>
            <w:noWrap/>
            <w:vAlign w:val="bottom"/>
            <w:hideMark/>
          </w:tcPr>
          <w:p w14:paraId="07C804FA"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4,420 </w:t>
            </w:r>
          </w:p>
        </w:tc>
        <w:tc>
          <w:tcPr>
            <w:tcW w:w="741" w:type="pct"/>
            <w:noWrap/>
            <w:vAlign w:val="bottom"/>
            <w:hideMark/>
          </w:tcPr>
          <w:p w14:paraId="1F73B2D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2,085 </w:t>
            </w:r>
          </w:p>
        </w:tc>
        <w:tc>
          <w:tcPr>
            <w:tcW w:w="736" w:type="pct"/>
            <w:noWrap/>
            <w:vAlign w:val="bottom"/>
            <w:hideMark/>
          </w:tcPr>
          <w:p w14:paraId="34A037D9"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2,349 </w:t>
            </w:r>
          </w:p>
        </w:tc>
        <w:tc>
          <w:tcPr>
            <w:tcW w:w="641" w:type="pct"/>
            <w:noWrap/>
            <w:vAlign w:val="bottom"/>
            <w:hideMark/>
          </w:tcPr>
          <w:p w14:paraId="018B4897"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47%</w:t>
            </w:r>
          </w:p>
        </w:tc>
      </w:tr>
      <w:tr w:rsidR="00FA1B5B" w:rsidRPr="00FA1B5B" w14:paraId="7C81A1B4"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7A0FA1D9" w14:textId="77777777"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Concrete</w:t>
            </w:r>
          </w:p>
        </w:tc>
        <w:tc>
          <w:tcPr>
            <w:tcW w:w="718" w:type="pct"/>
            <w:noWrap/>
            <w:vAlign w:val="bottom"/>
            <w:hideMark/>
          </w:tcPr>
          <w:p w14:paraId="44C0F931"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44,426 </w:t>
            </w:r>
          </w:p>
        </w:tc>
        <w:tc>
          <w:tcPr>
            <w:tcW w:w="741" w:type="pct"/>
            <w:noWrap/>
            <w:vAlign w:val="bottom"/>
            <w:hideMark/>
          </w:tcPr>
          <w:p w14:paraId="3A24B44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42,307 </w:t>
            </w:r>
          </w:p>
        </w:tc>
        <w:tc>
          <w:tcPr>
            <w:tcW w:w="736" w:type="pct"/>
            <w:noWrap/>
            <w:vAlign w:val="bottom"/>
            <w:hideMark/>
          </w:tcPr>
          <w:p w14:paraId="2D24DBB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2,107 </w:t>
            </w:r>
          </w:p>
        </w:tc>
        <w:tc>
          <w:tcPr>
            <w:tcW w:w="641" w:type="pct"/>
            <w:noWrap/>
            <w:vAlign w:val="bottom"/>
            <w:hideMark/>
          </w:tcPr>
          <w:p w14:paraId="7A0DBFBD"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95%</w:t>
            </w:r>
          </w:p>
        </w:tc>
      </w:tr>
      <w:tr w:rsidR="00FA1B5B" w:rsidRPr="00FA1B5B" w14:paraId="6F3EA23D"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142573E6" w14:textId="77777777"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Metal</w:t>
            </w:r>
          </w:p>
        </w:tc>
        <w:tc>
          <w:tcPr>
            <w:tcW w:w="718" w:type="pct"/>
            <w:noWrap/>
            <w:vAlign w:val="bottom"/>
            <w:hideMark/>
          </w:tcPr>
          <w:p w14:paraId="7BDBFB9E"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4,068 </w:t>
            </w:r>
          </w:p>
        </w:tc>
        <w:tc>
          <w:tcPr>
            <w:tcW w:w="741" w:type="pct"/>
            <w:noWrap/>
            <w:vAlign w:val="bottom"/>
            <w:hideMark/>
          </w:tcPr>
          <w:p w14:paraId="4150DE06"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4,037 </w:t>
            </w:r>
          </w:p>
        </w:tc>
        <w:tc>
          <w:tcPr>
            <w:tcW w:w="736" w:type="pct"/>
            <w:noWrap/>
            <w:vAlign w:val="bottom"/>
            <w:hideMark/>
          </w:tcPr>
          <w:p w14:paraId="56626F4F"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32 </w:t>
            </w:r>
          </w:p>
        </w:tc>
        <w:tc>
          <w:tcPr>
            <w:tcW w:w="641" w:type="pct"/>
            <w:noWrap/>
            <w:vAlign w:val="bottom"/>
            <w:hideMark/>
          </w:tcPr>
          <w:p w14:paraId="19550F74"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99%</w:t>
            </w:r>
          </w:p>
        </w:tc>
      </w:tr>
      <w:tr w:rsidR="00FA1B5B" w:rsidRPr="00FA1B5B" w14:paraId="27BD7480"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50E2FAD7" w14:textId="73C892E4"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Other </w:t>
            </w:r>
            <w:r w:rsidR="00F90FC5">
              <w:rPr>
                <w:rFonts w:eastAsia="Times New Roman" w:cs="Times New Roman"/>
                <w:sz w:val="18"/>
                <w:szCs w:val="24"/>
                <w:lang w:eastAsia="en-AU"/>
              </w:rPr>
              <w:t>c</w:t>
            </w:r>
            <w:r w:rsidR="00F90FC5" w:rsidRPr="00FA1B5B">
              <w:rPr>
                <w:rFonts w:eastAsia="Times New Roman" w:cs="Times New Roman"/>
                <w:sz w:val="18"/>
                <w:szCs w:val="24"/>
                <w:lang w:eastAsia="en-AU"/>
              </w:rPr>
              <w:t xml:space="preserve">onstruction </w:t>
            </w:r>
            <w:r w:rsidR="00F90FC5">
              <w:rPr>
                <w:rFonts w:eastAsia="Times New Roman" w:cs="Times New Roman"/>
                <w:sz w:val="18"/>
                <w:szCs w:val="24"/>
                <w:lang w:eastAsia="en-AU"/>
              </w:rPr>
              <w:t>w</w:t>
            </w:r>
            <w:r w:rsidR="00F90FC5" w:rsidRPr="00FA1B5B">
              <w:rPr>
                <w:rFonts w:eastAsia="Times New Roman" w:cs="Times New Roman"/>
                <w:sz w:val="18"/>
                <w:szCs w:val="24"/>
                <w:lang w:eastAsia="en-AU"/>
              </w:rPr>
              <w:t xml:space="preserve">aste </w:t>
            </w:r>
            <w:r w:rsidRPr="00FA1B5B">
              <w:rPr>
                <w:rFonts w:eastAsia="Times New Roman" w:cs="Times New Roman"/>
                <w:sz w:val="18"/>
                <w:szCs w:val="24"/>
                <w:lang w:eastAsia="en-AU"/>
              </w:rPr>
              <w:t>(</w:t>
            </w:r>
            <w:r w:rsidR="00C739EB">
              <w:rPr>
                <w:rFonts w:eastAsia="Times New Roman" w:cs="Times New Roman"/>
                <w:sz w:val="18"/>
                <w:szCs w:val="24"/>
                <w:lang w:eastAsia="en-AU"/>
              </w:rPr>
              <w:t>t</w:t>
            </w:r>
            <w:r w:rsidRPr="00FA1B5B">
              <w:rPr>
                <w:rFonts w:eastAsia="Times New Roman" w:cs="Times New Roman"/>
                <w:sz w:val="18"/>
                <w:szCs w:val="24"/>
                <w:lang w:eastAsia="en-AU"/>
              </w:rPr>
              <w:t>imber, glass, plastic, bricks)</w:t>
            </w:r>
          </w:p>
        </w:tc>
        <w:tc>
          <w:tcPr>
            <w:tcW w:w="718" w:type="pct"/>
            <w:noWrap/>
            <w:vAlign w:val="bottom"/>
            <w:hideMark/>
          </w:tcPr>
          <w:p w14:paraId="2EBDED89"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1,294 </w:t>
            </w:r>
          </w:p>
        </w:tc>
        <w:tc>
          <w:tcPr>
            <w:tcW w:w="741" w:type="pct"/>
            <w:noWrap/>
            <w:vAlign w:val="bottom"/>
            <w:hideMark/>
          </w:tcPr>
          <w:p w14:paraId="474E7C08"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438 </w:t>
            </w:r>
          </w:p>
        </w:tc>
        <w:tc>
          <w:tcPr>
            <w:tcW w:w="736" w:type="pct"/>
            <w:noWrap/>
            <w:vAlign w:val="bottom"/>
            <w:hideMark/>
          </w:tcPr>
          <w:p w14:paraId="28F921E3"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856 </w:t>
            </w:r>
          </w:p>
        </w:tc>
        <w:tc>
          <w:tcPr>
            <w:tcW w:w="641" w:type="pct"/>
            <w:noWrap/>
            <w:vAlign w:val="bottom"/>
            <w:hideMark/>
          </w:tcPr>
          <w:p w14:paraId="7895D947"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34%</w:t>
            </w:r>
          </w:p>
        </w:tc>
      </w:tr>
      <w:tr w:rsidR="00FA1B5B" w:rsidRPr="00FA1B5B" w14:paraId="7FA742C9"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2A2B2825" w14:textId="044AC8FE"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Tyres and </w:t>
            </w:r>
            <w:r w:rsidR="00C739EB">
              <w:rPr>
                <w:rFonts w:eastAsia="Times New Roman" w:cs="Times New Roman"/>
                <w:sz w:val="18"/>
                <w:szCs w:val="24"/>
                <w:lang w:eastAsia="en-AU"/>
              </w:rPr>
              <w:t>r</w:t>
            </w:r>
            <w:r w:rsidRPr="00FA1B5B">
              <w:rPr>
                <w:rFonts w:eastAsia="Times New Roman" w:cs="Times New Roman"/>
                <w:sz w:val="18"/>
                <w:szCs w:val="24"/>
                <w:lang w:eastAsia="en-AU"/>
              </w:rPr>
              <w:t>ubber</w:t>
            </w:r>
          </w:p>
        </w:tc>
        <w:tc>
          <w:tcPr>
            <w:tcW w:w="718" w:type="pct"/>
            <w:noWrap/>
            <w:vAlign w:val="bottom"/>
            <w:hideMark/>
          </w:tcPr>
          <w:p w14:paraId="54AFDE85"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149 </w:t>
            </w:r>
          </w:p>
        </w:tc>
        <w:tc>
          <w:tcPr>
            <w:tcW w:w="741" w:type="pct"/>
            <w:noWrap/>
            <w:vAlign w:val="bottom"/>
            <w:hideMark/>
          </w:tcPr>
          <w:p w14:paraId="79F86E4D"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146 </w:t>
            </w:r>
          </w:p>
        </w:tc>
        <w:tc>
          <w:tcPr>
            <w:tcW w:w="736" w:type="pct"/>
            <w:noWrap/>
            <w:vAlign w:val="bottom"/>
            <w:hideMark/>
          </w:tcPr>
          <w:p w14:paraId="4AAC85F2"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 </w:t>
            </w:r>
          </w:p>
        </w:tc>
        <w:tc>
          <w:tcPr>
            <w:tcW w:w="641" w:type="pct"/>
            <w:noWrap/>
            <w:vAlign w:val="bottom"/>
            <w:hideMark/>
          </w:tcPr>
          <w:p w14:paraId="579B660F"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98%</w:t>
            </w:r>
          </w:p>
        </w:tc>
      </w:tr>
      <w:tr w:rsidR="00FA1B5B" w:rsidRPr="00FA1B5B" w14:paraId="4DE72E66"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4EBA0417" w14:textId="51DFF6F0"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General </w:t>
            </w:r>
            <w:r w:rsidR="00C739EB">
              <w:rPr>
                <w:rFonts w:eastAsia="Times New Roman" w:cs="Times New Roman"/>
                <w:sz w:val="18"/>
                <w:szCs w:val="24"/>
                <w:lang w:eastAsia="en-AU"/>
              </w:rPr>
              <w:t>r</w:t>
            </w:r>
            <w:r w:rsidRPr="00FA1B5B">
              <w:rPr>
                <w:rFonts w:eastAsia="Times New Roman" w:cs="Times New Roman"/>
                <w:sz w:val="18"/>
                <w:szCs w:val="24"/>
                <w:lang w:eastAsia="en-AU"/>
              </w:rPr>
              <w:t>efuse</w:t>
            </w:r>
          </w:p>
        </w:tc>
        <w:tc>
          <w:tcPr>
            <w:tcW w:w="718" w:type="pct"/>
            <w:noWrap/>
            <w:vAlign w:val="bottom"/>
            <w:hideMark/>
          </w:tcPr>
          <w:p w14:paraId="513BD5EC"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3,202 </w:t>
            </w:r>
          </w:p>
        </w:tc>
        <w:tc>
          <w:tcPr>
            <w:tcW w:w="741" w:type="pct"/>
            <w:noWrap/>
            <w:vAlign w:val="bottom"/>
            <w:hideMark/>
          </w:tcPr>
          <w:p w14:paraId="7F8AAA5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102 </w:t>
            </w:r>
          </w:p>
        </w:tc>
        <w:tc>
          <w:tcPr>
            <w:tcW w:w="736" w:type="pct"/>
            <w:noWrap/>
            <w:vAlign w:val="bottom"/>
            <w:hideMark/>
          </w:tcPr>
          <w:p w14:paraId="05B5526E"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3,099 </w:t>
            </w:r>
          </w:p>
        </w:tc>
        <w:tc>
          <w:tcPr>
            <w:tcW w:w="641" w:type="pct"/>
            <w:noWrap/>
            <w:vAlign w:val="bottom"/>
            <w:hideMark/>
          </w:tcPr>
          <w:p w14:paraId="1827E775"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3%</w:t>
            </w:r>
          </w:p>
        </w:tc>
      </w:tr>
      <w:tr w:rsidR="00FA1B5B" w:rsidRPr="00FA1B5B" w14:paraId="747F160C"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38EBD00E" w14:textId="62DD87FF"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Illegally </w:t>
            </w:r>
            <w:r w:rsidR="00F90FC5">
              <w:rPr>
                <w:rFonts w:eastAsia="Times New Roman" w:cs="Times New Roman"/>
                <w:sz w:val="18"/>
                <w:szCs w:val="24"/>
                <w:lang w:eastAsia="en-AU"/>
              </w:rPr>
              <w:t>d</w:t>
            </w:r>
            <w:r w:rsidR="00F90FC5" w:rsidRPr="00FA1B5B">
              <w:rPr>
                <w:rFonts w:eastAsia="Times New Roman" w:cs="Times New Roman"/>
                <w:sz w:val="18"/>
                <w:szCs w:val="24"/>
                <w:lang w:eastAsia="en-AU"/>
              </w:rPr>
              <w:t xml:space="preserve">umped </w:t>
            </w:r>
            <w:r w:rsidR="00F90FC5">
              <w:rPr>
                <w:rFonts w:eastAsia="Times New Roman" w:cs="Times New Roman"/>
                <w:sz w:val="18"/>
                <w:szCs w:val="24"/>
                <w:lang w:eastAsia="en-AU"/>
              </w:rPr>
              <w:t>r</w:t>
            </w:r>
            <w:r w:rsidR="00F90FC5" w:rsidRPr="00FA1B5B">
              <w:rPr>
                <w:rFonts w:eastAsia="Times New Roman" w:cs="Times New Roman"/>
                <w:sz w:val="18"/>
                <w:szCs w:val="24"/>
                <w:lang w:eastAsia="en-AU"/>
              </w:rPr>
              <w:t>efuse</w:t>
            </w:r>
          </w:p>
        </w:tc>
        <w:tc>
          <w:tcPr>
            <w:tcW w:w="718" w:type="pct"/>
            <w:noWrap/>
            <w:vAlign w:val="bottom"/>
            <w:hideMark/>
          </w:tcPr>
          <w:p w14:paraId="49996A20"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2,574 </w:t>
            </w:r>
          </w:p>
        </w:tc>
        <w:tc>
          <w:tcPr>
            <w:tcW w:w="741" w:type="pct"/>
            <w:noWrap/>
            <w:vAlign w:val="bottom"/>
            <w:hideMark/>
          </w:tcPr>
          <w:p w14:paraId="1D891A94"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5 </w:t>
            </w:r>
          </w:p>
        </w:tc>
        <w:tc>
          <w:tcPr>
            <w:tcW w:w="736" w:type="pct"/>
            <w:noWrap/>
            <w:vAlign w:val="bottom"/>
            <w:hideMark/>
          </w:tcPr>
          <w:p w14:paraId="2FCD6826"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2,569 </w:t>
            </w:r>
          </w:p>
        </w:tc>
        <w:tc>
          <w:tcPr>
            <w:tcW w:w="641" w:type="pct"/>
            <w:noWrap/>
            <w:vAlign w:val="bottom"/>
            <w:hideMark/>
          </w:tcPr>
          <w:p w14:paraId="76213F1C"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0%</w:t>
            </w:r>
          </w:p>
        </w:tc>
      </w:tr>
      <w:tr w:rsidR="00FA1B5B" w:rsidRPr="00FA1B5B" w14:paraId="42D5B761"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4A7DB462" w14:textId="67B73AF2"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Office - </w:t>
            </w:r>
            <w:r w:rsidR="00F90FC5">
              <w:rPr>
                <w:rFonts w:eastAsia="Times New Roman" w:cs="Times New Roman"/>
                <w:sz w:val="18"/>
                <w:szCs w:val="24"/>
                <w:lang w:eastAsia="en-AU"/>
              </w:rPr>
              <w:t>g</w:t>
            </w:r>
            <w:r w:rsidR="00F90FC5" w:rsidRPr="00FA1B5B">
              <w:rPr>
                <w:rFonts w:eastAsia="Times New Roman" w:cs="Times New Roman"/>
                <w:sz w:val="18"/>
                <w:szCs w:val="24"/>
                <w:lang w:eastAsia="en-AU"/>
              </w:rPr>
              <w:t xml:space="preserve">eneral </w:t>
            </w:r>
            <w:r w:rsidRPr="00FA1B5B">
              <w:rPr>
                <w:rFonts w:eastAsia="Times New Roman" w:cs="Times New Roman"/>
                <w:sz w:val="18"/>
                <w:szCs w:val="24"/>
                <w:lang w:eastAsia="en-AU"/>
              </w:rPr>
              <w:t xml:space="preserve">and </w:t>
            </w:r>
            <w:r w:rsidR="00C739EB">
              <w:rPr>
                <w:rFonts w:eastAsia="Times New Roman" w:cs="Times New Roman"/>
                <w:sz w:val="18"/>
                <w:szCs w:val="24"/>
                <w:lang w:eastAsia="en-AU"/>
              </w:rPr>
              <w:t>f</w:t>
            </w:r>
            <w:r w:rsidRPr="00FA1B5B">
              <w:rPr>
                <w:rFonts w:eastAsia="Times New Roman" w:cs="Times New Roman"/>
                <w:sz w:val="18"/>
                <w:szCs w:val="24"/>
                <w:lang w:eastAsia="en-AU"/>
              </w:rPr>
              <w:t>ood waste</w:t>
            </w:r>
          </w:p>
        </w:tc>
        <w:tc>
          <w:tcPr>
            <w:tcW w:w="718" w:type="pct"/>
            <w:noWrap/>
            <w:vAlign w:val="bottom"/>
            <w:hideMark/>
          </w:tcPr>
          <w:p w14:paraId="537DEE5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369 </w:t>
            </w:r>
          </w:p>
        </w:tc>
        <w:tc>
          <w:tcPr>
            <w:tcW w:w="741" w:type="pct"/>
            <w:noWrap/>
            <w:vAlign w:val="bottom"/>
            <w:hideMark/>
          </w:tcPr>
          <w:p w14:paraId="212D582C"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 </w:t>
            </w:r>
          </w:p>
        </w:tc>
        <w:tc>
          <w:tcPr>
            <w:tcW w:w="736" w:type="pct"/>
            <w:noWrap/>
            <w:vAlign w:val="bottom"/>
            <w:hideMark/>
          </w:tcPr>
          <w:p w14:paraId="639C5E48"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366 </w:t>
            </w:r>
          </w:p>
        </w:tc>
        <w:tc>
          <w:tcPr>
            <w:tcW w:w="641" w:type="pct"/>
            <w:noWrap/>
            <w:vAlign w:val="bottom"/>
            <w:hideMark/>
          </w:tcPr>
          <w:p w14:paraId="00D9E93F"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1%</w:t>
            </w:r>
          </w:p>
        </w:tc>
      </w:tr>
      <w:tr w:rsidR="00FA1B5B" w:rsidRPr="00FA1B5B" w14:paraId="324CD4CA"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1BE8E580" w14:textId="7B5D32AC"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Office - </w:t>
            </w:r>
            <w:r w:rsidR="00F90FC5">
              <w:rPr>
                <w:rFonts w:eastAsia="Times New Roman" w:cs="Times New Roman"/>
                <w:sz w:val="18"/>
                <w:szCs w:val="24"/>
                <w:lang w:eastAsia="en-AU"/>
              </w:rPr>
              <w:t>r</w:t>
            </w:r>
            <w:r w:rsidR="00F90FC5" w:rsidRPr="00FA1B5B">
              <w:rPr>
                <w:rFonts w:eastAsia="Times New Roman" w:cs="Times New Roman"/>
                <w:sz w:val="18"/>
                <w:szCs w:val="24"/>
                <w:lang w:eastAsia="en-AU"/>
              </w:rPr>
              <w:t>ecyclables</w:t>
            </w:r>
          </w:p>
        </w:tc>
        <w:tc>
          <w:tcPr>
            <w:tcW w:w="718" w:type="pct"/>
            <w:noWrap/>
            <w:vAlign w:val="bottom"/>
            <w:hideMark/>
          </w:tcPr>
          <w:p w14:paraId="50B91599"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178 </w:t>
            </w:r>
          </w:p>
        </w:tc>
        <w:tc>
          <w:tcPr>
            <w:tcW w:w="741" w:type="pct"/>
            <w:noWrap/>
            <w:vAlign w:val="bottom"/>
            <w:hideMark/>
          </w:tcPr>
          <w:p w14:paraId="677E6DF7"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175 </w:t>
            </w:r>
          </w:p>
        </w:tc>
        <w:tc>
          <w:tcPr>
            <w:tcW w:w="736" w:type="pct"/>
            <w:noWrap/>
            <w:vAlign w:val="bottom"/>
            <w:hideMark/>
          </w:tcPr>
          <w:p w14:paraId="784D7F55"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3 </w:t>
            </w:r>
          </w:p>
        </w:tc>
        <w:tc>
          <w:tcPr>
            <w:tcW w:w="641" w:type="pct"/>
            <w:noWrap/>
            <w:vAlign w:val="bottom"/>
            <w:hideMark/>
          </w:tcPr>
          <w:p w14:paraId="501AE194"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98%</w:t>
            </w:r>
          </w:p>
        </w:tc>
      </w:tr>
      <w:tr w:rsidR="00FA1B5B" w:rsidRPr="00FA1B5B" w14:paraId="77194CBE" w14:textId="77777777" w:rsidTr="00FA1B5B">
        <w:trPr>
          <w:trHeight w:val="300"/>
        </w:trPr>
        <w:tc>
          <w:tcPr>
            <w:cnfStyle w:val="001000000000" w:firstRow="0" w:lastRow="0" w:firstColumn="1" w:lastColumn="0" w:oddVBand="0" w:evenVBand="0" w:oddHBand="0" w:evenHBand="0" w:firstRowFirstColumn="0" w:firstRowLastColumn="0" w:lastRowFirstColumn="0" w:lastRowLastColumn="0"/>
            <w:tcW w:w="2163" w:type="pct"/>
            <w:noWrap/>
            <w:vAlign w:val="bottom"/>
            <w:hideMark/>
          </w:tcPr>
          <w:p w14:paraId="488C240C" w14:textId="416DEBBE" w:rsidR="00FA1B5B" w:rsidRPr="00FA1B5B" w:rsidRDefault="00FA1B5B" w:rsidP="00FA1B5B">
            <w:pPr>
              <w:spacing w:before="60" w:after="60"/>
              <w:rPr>
                <w:rFonts w:eastAsia="Times New Roman"/>
                <w:sz w:val="18"/>
                <w:szCs w:val="24"/>
                <w:lang w:eastAsia="en-AU"/>
              </w:rPr>
            </w:pPr>
            <w:r w:rsidRPr="00FA1B5B">
              <w:rPr>
                <w:rFonts w:eastAsia="Times New Roman" w:cs="Times New Roman"/>
                <w:sz w:val="18"/>
                <w:szCs w:val="24"/>
                <w:lang w:eastAsia="en-AU"/>
              </w:rPr>
              <w:t xml:space="preserve">Office - </w:t>
            </w:r>
            <w:r w:rsidR="00F90FC5">
              <w:rPr>
                <w:rFonts w:eastAsia="Times New Roman" w:cs="Times New Roman"/>
                <w:sz w:val="18"/>
                <w:szCs w:val="24"/>
                <w:lang w:eastAsia="en-AU"/>
              </w:rPr>
              <w:t>p</w:t>
            </w:r>
            <w:r w:rsidR="00F90FC5" w:rsidRPr="00FA1B5B">
              <w:rPr>
                <w:rFonts w:eastAsia="Times New Roman" w:cs="Times New Roman"/>
                <w:sz w:val="18"/>
                <w:szCs w:val="24"/>
                <w:lang w:eastAsia="en-AU"/>
              </w:rPr>
              <w:t>aper</w:t>
            </w:r>
          </w:p>
        </w:tc>
        <w:tc>
          <w:tcPr>
            <w:tcW w:w="718" w:type="pct"/>
            <w:noWrap/>
            <w:vAlign w:val="bottom"/>
            <w:hideMark/>
          </w:tcPr>
          <w:p w14:paraId="434FB1F5"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235 </w:t>
            </w:r>
          </w:p>
        </w:tc>
        <w:tc>
          <w:tcPr>
            <w:tcW w:w="741" w:type="pct"/>
            <w:noWrap/>
            <w:vAlign w:val="bottom"/>
            <w:hideMark/>
          </w:tcPr>
          <w:p w14:paraId="636AD66C"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229 </w:t>
            </w:r>
          </w:p>
        </w:tc>
        <w:tc>
          <w:tcPr>
            <w:tcW w:w="736" w:type="pct"/>
            <w:noWrap/>
            <w:vAlign w:val="bottom"/>
            <w:hideMark/>
          </w:tcPr>
          <w:p w14:paraId="14B0E5F2" w14:textId="77777777" w:rsidR="00FA1B5B" w:rsidRPr="00FA1B5B" w:rsidRDefault="00FA1B5B" w:rsidP="00FA1B5B">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 xml:space="preserve">5 </w:t>
            </w:r>
          </w:p>
        </w:tc>
        <w:tc>
          <w:tcPr>
            <w:tcW w:w="641" w:type="pct"/>
            <w:noWrap/>
            <w:vAlign w:val="bottom"/>
            <w:hideMark/>
          </w:tcPr>
          <w:p w14:paraId="6172404A" w14:textId="77777777" w:rsidR="00FA1B5B" w:rsidRPr="00FA1B5B" w:rsidRDefault="00FA1B5B" w:rsidP="00FA1B5B">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cs="Times New Roman"/>
                <w:sz w:val="18"/>
                <w:szCs w:val="24"/>
                <w:lang w:eastAsia="en-AU"/>
              </w:rPr>
              <w:t>98%</w:t>
            </w:r>
          </w:p>
        </w:tc>
      </w:tr>
    </w:tbl>
    <w:p w14:paraId="20A20A83" w14:textId="77777777" w:rsidR="00FA1B5B" w:rsidRPr="00FA1B5B" w:rsidRDefault="00FA1B5B" w:rsidP="00FA1B5B">
      <w:pPr>
        <w:spacing w:after="0" w:line="320" w:lineRule="atLeast"/>
        <w:rPr>
          <w:rFonts w:eastAsia="Arial" w:cs="Times New Roman"/>
          <w:sz w:val="24"/>
        </w:rPr>
      </w:pPr>
    </w:p>
    <w:p w14:paraId="037A163D" w14:textId="77DC2259" w:rsidR="00FA1B5B" w:rsidRDefault="00FA1B5B" w:rsidP="00FA1B5B">
      <w:pPr>
        <w:spacing w:after="0" w:line="320" w:lineRule="atLeast"/>
        <w:rPr>
          <w:rFonts w:eastAsia="Arial" w:cs="Times New Roman"/>
          <w:sz w:val="24"/>
        </w:rPr>
      </w:pPr>
      <w:r w:rsidRPr="00FA1B5B">
        <w:rPr>
          <w:rFonts w:eastAsia="Arial" w:cs="Times New Roman"/>
          <w:sz w:val="24"/>
        </w:rPr>
        <w:t xml:space="preserve">Table </w:t>
      </w:r>
      <w:r w:rsidR="00C5712F">
        <w:rPr>
          <w:rFonts w:eastAsia="Arial" w:cs="Times New Roman"/>
          <w:sz w:val="24"/>
        </w:rPr>
        <w:t>5</w:t>
      </w:r>
      <w:r w:rsidRPr="00FA1B5B">
        <w:rPr>
          <w:rFonts w:eastAsia="Arial" w:cs="Times New Roman"/>
          <w:sz w:val="24"/>
        </w:rPr>
        <w:t xml:space="preserve"> </w:t>
      </w:r>
      <w:r w:rsidR="00B57A6C">
        <w:rPr>
          <w:rFonts w:eastAsia="Arial" w:cs="Times New Roman"/>
          <w:sz w:val="24"/>
        </w:rPr>
        <w:t>(page 1</w:t>
      </w:r>
      <w:r w:rsidR="006367E8">
        <w:rPr>
          <w:rFonts w:eastAsia="Arial" w:cs="Times New Roman"/>
          <w:sz w:val="24"/>
        </w:rPr>
        <w:t>6</w:t>
      </w:r>
      <w:r w:rsidR="00B57A6C">
        <w:rPr>
          <w:rFonts w:eastAsia="Arial" w:cs="Times New Roman"/>
          <w:sz w:val="24"/>
        </w:rPr>
        <w:t xml:space="preserve">) </w:t>
      </w:r>
      <w:r w:rsidRPr="00FA1B5B">
        <w:rPr>
          <w:rFonts w:eastAsia="Arial" w:cs="Times New Roman"/>
          <w:sz w:val="24"/>
        </w:rPr>
        <w:t>describes how TMR’s waste</w:t>
      </w:r>
      <w:r w:rsidRPr="00FA1B5B">
        <w:rPr>
          <w:rFonts w:eastAsia="Arial" w:cs="Times New Roman"/>
          <w:bCs/>
          <w:sz w:val="24"/>
        </w:rPr>
        <w:t xml:space="preserve"> streams align</w:t>
      </w:r>
      <w:r w:rsidRPr="00FA1B5B">
        <w:rPr>
          <w:rFonts w:eastAsia="Arial" w:cs="Times New Roman"/>
          <w:sz w:val="24"/>
        </w:rPr>
        <w:t xml:space="preserve"> with the Department of Environment and Science waste classification.</w:t>
      </w:r>
    </w:p>
    <w:p w14:paraId="36074ECD" w14:textId="002BE601" w:rsidR="00C5712F" w:rsidRDefault="00C5712F" w:rsidP="00FA1B5B">
      <w:pPr>
        <w:spacing w:after="0" w:line="320" w:lineRule="atLeast"/>
        <w:rPr>
          <w:rFonts w:eastAsia="Arial" w:cs="Times New Roman"/>
          <w:sz w:val="24"/>
        </w:rPr>
      </w:pPr>
    </w:p>
    <w:p w14:paraId="2F236BD0" w14:textId="13B4F781" w:rsidR="00C5712F" w:rsidRDefault="00C5712F" w:rsidP="00FA1B5B">
      <w:pPr>
        <w:spacing w:after="0" w:line="320" w:lineRule="atLeast"/>
        <w:rPr>
          <w:rFonts w:eastAsia="Arial" w:cs="Times New Roman"/>
          <w:bCs/>
          <w:sz w:val="24"/>
        </w:rPr>
      </w:pPr>
    </w:p>
    <w:p w14:paraId="2087CEF5" w14:textId="77777777" w:rsidR="00C5712F" w:rsidRDefault="00C5712F" w:rsidP="00FA1B5B">
      <w:pPr>
        <w:spacing w:after="0" w:line="320" w:lineRule="atLeast"/>
        <w:rPr>
          <w:rFonts w:eastAsia="Arial" w:cs="Times New Roman"/>
          <w:bCs/>
          <w:sz w:val="24"/>
        </w:rPr>
      </w:pPr>
    </w:p>
    <w:p w14:paraId="7C29B0BF" w14:textId="77777777" w:rsidR="00C5712F" w:rsidRPr="0014555E" w:rsidRDefault="00C5712F" w:rsidP="00C5712F">
      <w:pPr>
        <w:keepNext/>
        <w:keepLines/>
        <w:tabs>
          <w:tab w:val="left" w:pos="1134"/>
        </w:tabs>
        <w:spacing w:before="240" w:after="120" w:line="260" w:lineRule="atLeast"/>
        <w:ind w:left="1134" w:hanging="1134"/>
        <w:rPr>
          <w:rFonts w:eastAsia="Times New Roman"/>
          <w:b/>
          <w:i/>
          <w:iCs/>
          <w:color w:val="002060"/>
          <w:sz w:val="24"/>
          <w:szCs w:val="24"/>
        </w:rPr>
      </w:pPr>
      <w:r w:rsidRPr="0014555E">
        <w:rPr>
          <w:rFonts w:eastAsia="Times New Roman"/>
          <w:b/>
          <w:i/>
          <w:iCs/>
          <w:color w:val="002060"/>
          <w:sz w:val="24"/>
          <w:szCs w:val="24"/>
          <w:lang w:eastAsia="en-AU"/>
        </w:rPr>
        <w:lastRenderedPageBreak/>
        <w:t xml:space="preserve">Table </w:t>
      </w:r>
      <w:r w:rsidRPr="0014555E">
        <w:rPr>
          <w:rFonts w:eastAsia="Times New Roman"/>
          <w:b/>
          <w:i/>
          <w:iCs/>
          <w:color w:val="002060"/>
          <w:sz w:val="24"/>
          <w:szCs w:val="24"/>
          <w:shd w:val="clear" w:color="auto" w:fill="E6E6E6"/>
          <w:lang w:eastAsia="en-AU"/>
        </w:rPr>
        <w:t>5:</w:t>
      </w:r>
      <w:r w:rsidRPr="0014555E">
        <w:rPr>
          <w:rFonts w:eastAsia="Times New Roman"/>
          <w:b/>
          <w:i/>
          <w:iCs/>
          <w:color w:val="002060"/>
          <w:sz w:val="24"/>
          <w:szCs w:val="24"/>
          <w:lang w:eastAsia="en-AU"/>
        </w:rPr>
        <w:t xml:space="preserve"> TMR waste stream descriptions.</w:t>
      </w:r>
    </w:p>
    <w:tbl>
      <w:tblPr>
        <w:tblStyle w:val="GridTable4-Accent1"/>
        <w:tblpPr w:leftFromText="180" w:rightFromText="180" w:vertAnchor="text" w:horzAnchor="margin" w:tblpY="272"/>
        <w:tblW w:w="5000" w:type="pct"/>
        <w:tblLook w:val="0620" w:firstRow="1" w:lastRow="0" w:firstColumn="0" w:lastColumn="0" w:noHBand="1" w:noVBand="1"/>
      </w:tblPr>
      <w:tblGrid>
        <w:gridCol w:w="2332"/>
        <w:gridCol w:w="3334"/>
        <w:gridCol w:w="4076"/>
      </w:tblGrid>
      <w:tr w:rsidR="0039389D" w:rsidRPr="00FA1B5B" w14:paraId="0C89AC15" w14:textId="77777777" w:rsidTr="0039389D">
        <w:trPr>
          <w:cnfStyle w:val="100000000000" w:firstRow="1" w:lastRow="0" w:firstColumn="0" w:lastColumn="0" w:oddVBand="0" w:evenVBand="0" w:oddHBand="0" w:evenHBand="0" w:firstRowFirstColumn="0" w:firstRowLastColumn="0" w:lastRowFirstColumn="0" w:lastRowLastColumn="0"/>
          <w:trHeight w:val="300"/>
        </w:trPr>
        <w:tc>
          <w:tcPr>
            <w:tcW w:w="1197" w:type="pct"/>
            <w:hideMark/>
          </w:tcPr>
          <w:p w14:paraId="56E13E7F"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General waste</w:t>
            </w:r>
          </w:p>
        </w:tc>
        <w:tc>
          <w:tcPr>
            <w:tcW w:w="1711" w:type="pct"/>
            <w:hideMark/>
          </w:tcPr>
          <w:p w14:paraId="1A2784FA"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TMR waste streams</w:t>
            </w:r>
          </w:p>
        </w:tc>
        <w:tc>
          <w:tcPr>
            <w:tcW w:w="2092" w:type="pct"/>
            <w:noWrap/>
            <w:hideMark/>
          </w:tcPr>
          <w:p w14:paraId="79252171"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Description</w:t>
            </w:r>
          </w:p>
        </w:tc>
      </w:tr>
      <w:tr w:rsidR="0039389D" w:rsidRPr="00FA1B5B" w14:paraId="0B67CB70" w14:textId="77777777" w:rsidTr="0039389D">
        <w:trPr>
          <w:trHeight w:val="531"/>
        </w:trPr>
        <w:tc>
          <w:tcPr>
            <w:tcW w:w="1197" w:type="pct"/>
            <w:vMerge w:val="restart"/>
            <w:hideMark/>
          </w:tcPr>
          <w:p w14:paraId="0998D1F5"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Office waste</w:t>
            </w:r>
          </w:p>
        </w:tc>
        <w:tc>
          <w:tcPr>
            <w:tcW w:w="1711" w:type="pct"/>
            <w:hideMark/>
          </w:tcPr>
          <w:p w14:paraId="46BB5B9A"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Office – </w:t>
            </w:r>
            <w:r>
              <w:rPr>
                <w:rFonts w:eastAsia="Times New Roman" w:cs="Times New Roman"/>
                <w:sz w:val="22"/>
                <w:lang w:eastAsia="en-AU"/>
              </w:rPr>
              <w:t>r</w:t>
            </w:r>
            <w:r w:rsidRPr="00872FBA">
              <w:rPr>
                <w:rFonts w:eastAsia="Times New Roman" w:cs="Times New Roman"/>
                <w:sz w:val="22"/>
                <w:lang w:eastAsia="en-AU"/>
              </w:rPr>
              <w:t>ecyclables</w:t>
            </w:r>
          </w:p>
        </w:tc>
        <w:tc>
          <w:tcPr>
            <w:tcW w:w="2092" w:type="pct"/>
            <w:hideMark/>
          </w:tcPr>
          <w:p w14:paraId="1CB5F43F"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Mixed recyclables including plastic plates, bottles, aluminium cans etc.</w:t>
            </w:r>
          </w:p>
        </w:tc>
      </w:tr>
      <w:tr w:rsidR="0039389D" w:rsidRPr="00FA1B5B" w14:paraId="338ECBC1" w14:textId="77777777" w:rsidTr="0039389D">
        <w:trPr>
          <w:trHeight w:val="400"/>
        </w:trPr>
        <w:tc>
          <w:tcPr>
            <w:tcW w:w="1197" w:type="pct"/>
            <w:vMerge/>
            <w:hideMark/>
          </w:tcPr>
          <w:p w14:paraId="27F44428"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60E77C69"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Office – </w:t>
            </w:r>
            <w:r>
              <w:rPr>
                <w:rFonts w:eastAsia="Times New Roman" w:cs="Times New Roman"/>
                <w:sz w:val="22"/>
                <w:lang w:eastAsia="en-AU"/>
              </w:rPr>
              <w:t>p</w:t>
            </w:r>
            <w:r w:rsidRPr="00872FBA">
              <w:rPr>
                <w:rFonts w:eastAsia="Times New Roman" w:cs="Times New Roman"/>
                <w:sz w:val="22"/>
                <w:lang w:eastAsia="en-AU"/>
              </w:rPr>
              <w:t>aper</w:t>
            </w:r>
          </w:p>
        </w:tc>
        <w:tc>
          <w:tcPr>
            <w:tcW w:w="2092" w:type="pct"/>
            <w:hideMark/>
          </w:tcPr>
          <w:p w14:paraId="2B9CA5BB"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Paper and cardboard recyclable waste.</w:t>
            </w:r>
          </w:p>
        </w:tc>
      </w:tr>
      <w:tr w:rsidR="0039389D" w:rsidRPr="00FA1B5B" w14:paraId="7D940C9F" w14:textId="77777777" w:rsidTr="0039389D">
        <w:trPr>
          <w:trHeight w:val="962"/>
        </w:trPr>
        <w:tc>
          <w:tcPr>
            <w:tcW w:w="1197" w:type="pct"/>
            <w:vMerge w:val="restart"/>
            <w:hideMark/>
          </w:tcPr>
          <w:p w14:paraId="082B7645"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Construction and demolition waste</w:t>
            </w:r>
          </w:p>
        </w:tc>
        <w:tc>
          <w:tcPr>
            <w:tcW w:w="1711" w:type="pct"/>
            <w:hideMark/>
          </w:tcPr>
          <w:p w14:paraId="0664EFAA"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Excess </w:t>
            </w:r>
            <w:r>
              <w:rPr>
                <w:rFonts w:eastAsia="Times New Roman" w:cs="Times New Roman"/>
                <w:sz w:val="22"/>
                <w:lang w:eastAsia="en-AU"/>
              </w:rPr>
              <w:t>e</w:t>
            </w:r>
            <w:r w:rsidRPr="00872FBA">
              <w:rPr>
                <w:rFonts w:eastAsia="Times New Roman" w:cs="Times New Roman"/>
                <w:sz w:val="22"/>
                <w:lang w:eastAsia="en-AU"/>
              </w:rPr>
              <w:t xml:space="preserve">arthworks/ </w:t>
            </w:r>
            <w:r>
              <w:rPr>
                <w:rFonts w:eastAsia="Times New Roman" w:cs="Times New Roman"/>
                <w:sz w:val="22"/>
                <w:lang w:eastAsia="en-AU"/>
              </w:rPr>
              <w:t>e</w:t>
            </w:r>
            <w:r w:rsidRPr="00872FBA">
              <w:rPr>
                <w:rFonts w:eastAsia="Times New Roman" w:cs="Times New Roman"/>
                <w:sz w:val="22"/>
                <w:lang w:eastAsia="en-AU"/>
              </w:rPr>
              <w:t>mbankment/</w:t>
            </w:r>
            <w:r>
              <w:rPr>
                <w:rFonts w:eastAsia="Times New Roman" w:cs="Times New Roman"/>
                <w:sz w:val="22"/>
                <w:lang w:eastAsia="en-AU"/>
              </w:rPr>
              <w:t>f</w:t>
            </w:r>
            <w:r w:rsidRPr="00872FBA">
              <w:rPr>
                <w:rFonts w:eastAsia="Times New Roman" w:cs="Times New Roman"/>
                <w:sz w:val="22"/>
                <w:lang w:eastAsia="en-AU"/>
              </w:rPr>
              <w:t>ill</w:t>
            </w:r>
          </w:p>
        </w:tc>
        <w:tc>
          <w:tcPr>
            <w:tcW w:w="2092" w:type="pct"/>
            <w:hideMark/>
          </w:tcPr>
          <w:p w14:paraId="694B01E1"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Any excess earthworks, embankment or fill generated by a project which is then exported outside the project boundary for either reuse, recycle or landfill beyond the project boundary.</w:t>
            </w:r>
          </w:p>
        </w:tc>
      </w:tr>
      <w:tr w:rsidR="0039389D" w:rsidRPr="00FA1B5B" w14:paraId="77CF6661" w14:textId="77777777" w:rsidTr="0039389D">
        <w:trPr>
          <w:trHeight w:val="586"/>
        </w:trPr>
        <w:tc>
          <w:tcPr>
            <w:tcW w:w="1197" w:type="pct"/>
            <w:vMerge/>
            <w:hideMark/>
          </w:tcPr>
          <w:p w14:paraId="33B52194"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46D6014F"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Other </w:t>
            </w:r>
            <w:r>
              <w:rPr>
                <w:rFonts w:eastAsia="Times New Roman" w:cs="Times New Roman"/>
                <w:sz w:val="22"/>
                <w:lang w:eastAsia="en-AU"/>
              </w:rPr>
              <w:t>c</w:t>
            </w:r>
            <w:r w:rsidRPr="00872FBA">
              <w:rPr>
                <w:rFonts w:eastAsia="Times New Roman" w:cs="Times New Roman"/>
                <w:sz w:val="22"/>
                <w:lang w:eastAsia="en-AU"/>
              </w:rPr>
              <w:t>ontaminated Earthworks</w:t>
            </w:r>
          </w:p>
        </w:tc>
        <w:tc>
          <w:tcPr>
            <w:tcW w:w="2092" w:type="pct"/>
            <w:hideMark/>
          </w:tcPr>
          <w:p w14:paraId="1AFD05AC"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Any other contaminated earthworks, but not acid sulphate soils.</w:t>
            </w:r>
          </w:p>
        </w:tc>
      </w:tr>
      <w:tr w:rsidR="0039389D" w:rsidRPr="00FA1B5B" w14:paraId="3B6D6496" w14:textId="77777777" w:rsidTr="0039389D">
        <w:trPr>
          <w:trHeight w:val="552"/>
        </w:trPr>
        <w:tc>
          <w:tcPr>
            <w:tcW w:w="1197" w:type="pct"/>
            <w:vMerge/>
            <w:hideMark/>
          </w:tcPr>
          <w:p w14:paraId="6A97A1B4"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56236A01"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Asphalt and </w:t>
            </w:r>
            <w:r>
              <w:rPr>
                <w:rFonts w:eastAsia="Times New Roman" w:cs="Times New Roman"/>
                <w:sz w:val="22"/>
                <w:lang w:eastAsia="en-AU"/>
              </w:rPr>
              <w:t>p</w:t>
            </w:r>
            <w:r w:rsidRPr="00872FBA">
              <w:rPr>
                <w:rFonts w:eastAsia="Times New Roman" w:cs="Times New Roman"/>
                <w:sz w:val="22"/>
                <w:lang w:eastAsia="en-AU"/>
              </w:rPr>
              <w:t>rofiles (RAP)</w:t>
            </w:r>
          </w:p>
        </w:tc>
        <w:tc>
          <w:tcPr>
            <w:tcW w:w="2092" w:type="pct"/>
            <w:hideMark/>
          </w:tcPr>
          <w:p w14:paraId="27A68C9F"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Asphalt only (not chip seals and other pavements).</w:t>
            </w:r>
          </w:p>
        </w:tc>
      </w:tr>
      <w:tr w:rsidR="0039389D" w:rsidRPr="00FA1B5B" w14:paraId="5D01E302" w14:textId="77777777" w:rsidTr="0039389D">
        <w:trPr>
          <w:trHeight w:val="560"/>
        </w:trPr>
        <w:tc>
          <w:tcPr>
            <w:tcW w:w="1197" w:type="pct"/>
            <w:vMerge/>
            <w:hideMark/>
          </w:tcPr>
          <w:p w14:paraId="6EB8AA80"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3D71F2CD"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Other </w:t>
            </w:r>
            <w:r>
              <w:rPr>
                <w:rFonts w:eastAsia="Times New Roman" w:cs="Times New Roman"/>
                <w:sz w:val="22"/>
                <w:lang w:eastAsia="en-AU"/>
              </w:rPr>
              <w:t>r</w:t>
            </w:r>
            <w:r w:rsidRPr="00872FBA">
              <w:rPr>
                <w:rFonts w:eastAsia="Times New Roman" w:cs="Times New Roman"/>
                <w:sz w:val="22"/>
                <w:lang w:eastAsia="en-AU"/>
              </w:rPr>
              <w:t xml:space="preserve">ecovered </w:t>
            </w:r>
            <w:r>
              <w:rPr>
                <w:rFonts w:eastAsia="Times New Roman" w:cs="Times New Roman"/>
                <w:sz w:val="22"/>
                <w:lang w:eastAsia="en-AU"/>
              </w:rPr>
              <w:t>p</w:t>
            </w:r>
            <w:r w:rsidRPr="00872FBA">
              <w:rPr>
                <w:rFonts w:eastAsia="Times New Roman" w:cs="Times New Roman"/>
                <w:sz w:val="22"/>
                <w:lang w:eastAsia="en-AU"/>
              </w:rPr>
              <w:t xml:space="preserve">avement </w:t>
            </w:r>
            <w:r>
              <w:rPr>
                <w:rFonts w:eastAsia="Times New Roman" w:cs="Times New Roman"/>
                <w:sz w:val="22"/>
                <w:lang w:eastAsia="en-AU"/>
              </w:rPr>
              <w:t>m</w:t>
            </w:r>
            <w:r w:rsidRPr="00872FBA">
              <w:rPr>
                <w:rFonts w:eastAsia="Times New Roman" w:cs="Times New Roman"/>
                <w:sz w:val="22"/>
                <w:lang w:eastAsia="en-AU"/>
              </w:rPr>
              <w:t>aterials</w:t>
            </w:r>
          </w:p>
        </w:tc>
        <w:tc>
          <w:tcPr>
            <w:tcW w:w="2092" w:type="pct"/>
            <w:hideMark/>
          </w:tcPr>
          <w:p w14:paraId="577C7784"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Spray seal pavements, stabilised pavements (not asphalt).</w:t>
            </w:r>
          </w:p>
        </w:tc>
      </w:tr>
      <w:tr w:rsidR="0039389D" w:rsidRPr="00FA1B5B" w14:paraId="7BB5110D" w14:textId="77777777" w:rsidTr="0039389D">
        <w:trPr>
          <w:trHeight w:val="554"/>
        </w:trPr>
        <w:tc>
          <w:tcPr>
            <w:tcW w:w="1197" w:type="pct"/>
            <w:vMerge/>
            <w:hideMark/>
          </w:tcPr>
          <w:p w14:paraId="2C6EBEAF"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2F961C3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Concrete</w:t>
            </w:r>
          </w:p>
        </w:tc>
        <w:tc>
          <w:tcPr>
            <w:tcW w:w="2092" w:type="pct"/>
            <w:hideMark/>
          </w:tcPr>
          <w:p w14:paraId="2CC42465"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Structural concrete, shotcrete, hardened grout, concrete washout. </w:t>
            </w:r>
          </w:p>
        </w:tc>
      </w:tr>
      <w:tr w:rsidR="0039389D" w:rsidRPr="00FA1B5B" w14:paraId="2A7CB313" w14:textId="77777777" w:rsidTr="0039389D">
        <w:trPr>
          <w:trHeight w:val="288"/>
        </w:trPr>
        <w:tc>
          <w:tcPr>
            <w:tcW w:w="1197" w:type="pct"/>
            <w:vMerge/>
            <w:hideMark/>
          </w:tcPr>
          <w:p w14:paraId="6C5C222C"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2597D4F7"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Metal</w:t>
            </w:r>
          </w:p>
        </w:tc>
        <w:tc>
          <w:tcPr>
            <w:tcW w:w="2092" w:type="pct"/>
            <w:hideMark/>
          </w:tcPr>
          <w:p w14:paraId="4CD1DF9F"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Signposts, guardrails etc. </w:t>
            </w:r>
          </w:p>
        </w:tc>
      </w:tr>
      <w:tr w:rsidR="0039389D" w:rsidRPr="00FA1B5B" w14:paraId="262A359A" w14:textId="77777777" w:rsidTr="0039389D">
        <w:trPr>
          <w:trHeight w:val="836"/>
        </w:trPr>
        <w:tc>
          <w:tcPr>
            <w:tcW w:w="1197" w:type="pct"/>
            <w:vMerge/>
            <w:hideMark/>
          </w:tcPr>
          <w:p w14:paraId="0CEEB15A"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3C168E2E"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Other </w:t>
            </w:r>
            <w:r>
              <w:rPr>
                <w:rFonts w:eastAsia="Times New Roman" w:cs="Times New Roman"/>
                <w:sz w:val="22"/>
                <w:lang w:eastAsia="en-AU"/>
              </w:rPr>
              <w:t>c</w:t>
            </w:r>
            <w:r w:rsidRPr="00872FBA">
              <w:rPr>
                <w:rFonts w:eastAsia="Times New Roman" w:cs="Times New Roman"/>
                <w:sz w:val="22"/>
                <w:lang w:eastAsia="en-AU"/>
              </w:rPr>
              <w:t xml:space="preserve">onstruction </w:t>
            </w:r>
            <w:r>
              <w:rPr>
                <w:rFonts w:eastAsia="Times New Roman" w:cs="Times New Roman"/>
                <w:sz w:val="22"/>
                <w:lang w:eastAsia="en-AU"/>
              </w:rPr>
              <w:t>w</w:t>
            </w:r>
            <w:r w:rsidRPr="00872FBA">
              <w:rPr>
                <w:rFonts w:eastAsia="Times New Roman" w:cs="Times New Roman"/>
                <w:sz w:val="22"/>
                <w:lang w:eastAsia="en-AU"/>
              </w:rPr>
              <w:t>aste (timber, glass, plastic, bricks)</w:t>
            </w:r>
          </w:p>
        </w:tc>
        <w:tc>
          <w:tcPr>
            <w:tcW w:w="2092" w:type="pct"/>
            <w:hideMark/>
          </w:tcPr>
          <w:p w14:paraId="4859554D"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Any construction waste not accounted for in other construction waste categories, such as uncontaminated timber, glass, </w:t>
            </w:r>
            <w:proofErr w:type="gramStart"/>
            <w:r w:rsidRPr="00872FBA">
              <w:rPr>
                <w:rFonts w:eastAsia="Times New Roman" w:cs="Times New Roman"/>
                <w:sz w:val="22"/>
                <w:lang w:eastAsia="en-AU"/>
              </w:rPr>
              <w:t>plastic</w:t>
            </w:r>
            <w:proofErr w:type="gramEnd"/>
            <w:r w:rsidRPr="00872FBA">
              <w:rPr>
                <w:rFonts w:eastAsia="Times New Roman" w:cs="Times New Roman"/>
                <w:sz w:val="22"/>
                <w:lang w:eastAsia="en-AU"/>
              </w:rPr>
              <w:t xml:space="preserve"> and bricks).</w:t>
            </w:r>
          </w:p>
        </w:tc>
      </w:tr>
      <w:tr w:rsidR="0039389D" w:rsidRPr="00FA1B5B" w14:paraId="0AFB64AF" w14:textId="77777777" w:rsidTr="0039389D">
        <w:trPr>
          <w:trHeight w:val="288"/>
        </w:trPr>
        <w:tc>
          <w:tcPr>
            <w:tcW w:w="1197" w:type="pct"/>
            <w:vMerge/>
            <w:hideMark/>
          </w:tcPr>
          <w:p w14:paraId="3C572B7D"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772C2C61"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Acid Sulphate Soil</w:t>
            </w:r>
          </w:p>
        </w:tc>
        <w:tc>
          <w:tcPr>
            <w:tcW w:w="2092" w:type="pct"/>
            <w:hideMark/>
          </w:tcPr>
          <w:p w14:paraId="74AF7A8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Acid Sulphate Soils.</w:t>
            </w:r>
          </w:p>
        </w:tc>
      </w:tr>
      <w:tr w:rsidR="0039389D" w:rsidRPr="00FA1B5B" w14:paraId="6D4279D9" w14:textId="77777777" w:rsidTr="0039389D">
        <w:trPr>
          <w:trHeight w:val="300"/>
        </w:trPr>
        <w:tc>
          <w:tcPr>
            <w:tcW w:w="1197" w:type="pct"/>
            <w:vMerge/>
            <w:hideMark/>
          </w:tcPr>
          <w:p w14:paraId="69523B81"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12C1AAF8"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General </w:t>
            </w:r>
            <w:r>
              <w:rPr>
                <w:rFonts w:eastAsia="Times New Roman" w:cs="Times New Roman"/>
                <w:sz w:val="22"/>
                <w:lang w:eastAsia="en-AU"/>
              </w:rPr>
              <w:t>r</w:t>
            </w:r>
            <w:r w:rsidRPr="00872FBA">
              <w:rPr>
                <w:rFonts w:eastAsia="Times New Roman" w:cs="Times New Roman"/>
                <w:sz w:val="22"/>
                <w:lang w:eastAsia="en-AU"/>
              </w:rPr>
              <w:t>efuse</w:t>
            </w:r>
          </w:p>
        </w:tc>
        <w:tc>
          <w:tcPr>
            <w:tcW w:w="2092" w:type="pct"/>
            <w:hideMark/>
          </w:tcPr>
          <w:p w14:paraId="2AC89D2C"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Cardboard, plastic packaging. </w:t>
            </w:r>
          </w:p>
        </w:tc>
      </w:tr>
      <w:tr w:rsidR="0039389D" w:rsidRPr="00FA1B5B" w14:paraId="3700F40E" w14:textId="77777777" w:rsidTr="0039389D">
        <w:trPr>
          <w:trHeight w:val="564"/>
        </w:trPr>
        <w:tc>
          <w:tcPr>
            <w:tcW w:w="1197" w:type="pct"/>
            <w:hideMark/>
          </w:tcPr>
          <w:p w14:paraId="2A496402"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Green waste (land clearance, </w:t>
            </w:r>
            <w:proofErr w:type="gramStart"/>
            <w:r w:rsidRPr="00872FBA">
              <w:rPr>
                <w:rFonts w:eastAsia="Times New Roman" w:cs="Times New Roman"/>
                <w:sz w:val="22"/>
                <w:lang w:eastAsia="en-AU"/>
              </w:rPr>
              <w:t>parks</w:t>
            </w:r>
            <w:proofErr w:type="gramEnd"/>
            <w:r w:rsidRPr="00872FBA">
              <w:rPr>
                <w:rFonts w:eastAsia="Times New Roman" w:cs="Times New Roman"/>
                <w:sz w:val="22"/>
                <w:lang w:eastAsia="en-AU"/>
              </w:rPr>
              <w:t xml:space="preserve"> and gardens)</w:t>
            </w:r>
          </w:p>
        </w:tc>
        <w:tc>
          <w:tcPr>
            <w:tcW w:w="1711" w:type="pct"/>
            <w:hideMark/>
          </w:tcPr>
          <w:p w14:paraId="5C8E6309"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Vegetation</w:t>
            </w:r>
          </w:p>
        </w:tc>
        <w:tc>
          <w:tcPr>
            <w:tcW w:w="2092" w:type="pct"/>
            <w:hideMark/>
          </w:tcPr>
          <w:p w14:paraId="5D7A46F4"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Timber vegetation, stripped grasses etc. </w:t>
            </w:r>
          </w:p>
        </w:tc>
      </w:tr>
      <w:tr w:rsidR="0039389D" w:rsidRPr="00FA1B5B" w14:paraId="3B341FE8" w14:textId="77777777" w:rsidTr="0039389D">
        <w:trPr>
          <w:trHeight w:val="564"/>
        </w:trPr>
        <w:tc>
          <w:tcPr>
            <w:tcW w:w="1197" w:type="pct"/>
            <w:hideMark/>
          </w:tcPr>
          <w:p w14:paraId="3A9F88C4"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Food waste (kitchen waste)</w:t>
            </w:r>
          </w:p>
        </w:tc>
        <w:tc>
          <w:tcPr>
            <w:tcW w:w="1711" w:type="pct"/>
            <w:hideMark/>
          </w:tcPr>
          <w:p w14:paraId="154E8C37"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Office – General and food waste</w:t>
            </w:r>
          </w:p>
        </w:tc>
        <w:tc>
          <w:tcPr>
            <w:tcW w:w="2092" w:type="pct"/>
            <w:hideMark/>
          </w:tcPr>
          <w:p w14:paraId="0165D8A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Putrescibles, kitchen waste, non-recyclable packaging.</w:t>
            </w:r>
          </w:p>
        </w:tc>
      </w:tr>
      <w:tr w:rsidR="0039389D" w:rsidRPr="00FA1B5B" w14:paraId="519D50A7" w14:textId="77777777" w:rsidTr="0039389D">
        <w:trPr>
          <w:trHeight w:val="300"/>
        </w:trPr>
        <w:tc>
          <w:tcPr>
            <w:tcW w:w="1197" w:type="pct"/>
            <w:hideMark/>
          </w:tcPr>
          <w:p w14:paraId="59B8E072"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Mechanical/workshop waste</w:t>
            </w:r>
          </w:p>
        </w:tc>
        <w:tc>
          <w:tcPr>
            <w:tcW w:w="1711" w:type="pct"/>
            <w:hideMark/>
          </w:tcPr>
          <w:p w14:paraId="2487609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Tyres and rubber</w:t>
            </w:r>
          </w:p>
        </w:tc>
        <w:tc>
          <w:tcPr>
            <w:tcW w:w="2092" w:type="pct"/>
            <w:hideMark/>
          </w:tcPr>
          <w:p w14:paraId="78904468"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Waste tyres.</w:t>
            </w:r>
          </w:p>
        </w:tc>
      </w:tr>
      <w:tr w:rsidR="0039389D" w:rsidRPr="00FA1B5B" w14:paraId="35ECF959" w14:textId="77777777" w:rsidTr="0039389D">
        <w:trPr>
          <w:trHeight w:val="288"/>
        </w:trPr>
        <w:tc>
          <w:tcPr>
            <w:tcW w:w="1197" w:type="pct"/>
            <w:hideMark/>
          </w:tcPr>
          <w:p w14:paraId="1B2BEEB6"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E-waste</w:t>
            </w:r>
          </w:p>
        </w:tc>
        <w:tc>
          <w:tcPr>
            <w:tcW w:w="1711" w:type="pct"/>
            <w:hideMark/>
          </w:tcPr>
          <w:p w14:paraId="7F71800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Regulated </w:t>
            </w:r>
            <w:r>
              <w:rPr>
                <w:rFonts w:eastAsia="Times New Roman" w:cs="Times New Roman"/>
                <w:sz w:val="22"/>
                <w:lang w:eastAsia="en-AU"/>
              </w:rPr>
              <w:t>w</w:t>
            </w:r>
            <w:r w:rsidRPr="00872FBA">
              <w:rPr>
                <w:rFonts w:eastAsia="Times New Roman" w:cs="Times New Roman"/>
                <w:sz w:val="22"/>
                <w:lang w:eastAsia="en-AU"/>
              </w:rPr>
              <w:t xml:space="preserve">aste </w:t>
            </w:r>
            <w:r>
              <w:rPr>
                <w:rFonts w:eastAsia="Times New Roman" w:cs="Times New Roman"/>
                <w:sz w:val="22"/>
                <w:lang w:eastAsia="en-AU"/>
              </w:rPr>
              <w:t>c</w:t>
            </w:r>
            <w:r w:rsidRPr="00872FBA">
              <w:rPr>
                <w:rFonts w:eastAsia="Times New Roman" w:cs="Times New Roman"/>
                <w:sz w:val="22"/>
                <w:lang w:eastAsia="en-AU"/>
              </w:rPr>
              <w:t>at 2</w:t>
            </w:r>
          </w:p>
        </w:tc>
        <w:tc>
          <w:tcPr>
            <w:tcW w:w="2092" w:type="pct"/>
            <w:noWrap/>
            <w:hideMark/>
          </w:tcPr>
          <w:p w14:paraId="40486F92"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N/A</w:t>
            </w:r>
          </w:p>
        </w:tc>
      </w:tr>
      <w:tr w:rsidR="0039389D" w:rsidRPr="00FA1B5B" w14:paraId="33EBA749" w14:textId="77777777" w:rsidTr="0039389D">
        <w:trPr>
          <w:trHeight w:val="300"/>
        </w:trPr>
        <w:tc>
          <w:tcPr>
            <w:tcW w:w="1197" w:type="pct"/>
            <w:hideMark/>
          </w:tcPr>
          <w:p w14:paraId="5F26A5D8"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Clinical wastes</w:t>
            </w:r>
          </w:p>
        </w:tc>
        <w:tc>
          <w:tcPr>
            <w:tcW w:w="1711" w:type="pct"/>
            <w:hideMark/>
          </w:tcPr>
          <w:p w14:paraId="68B5397D"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N/A</w:t>
            </w:r>
          </w:p>
        </w:tc>
        <w:tc>
          <w:tcPr>
            <w:tcW w:w="2092" w:type="pct"/>
            <w:noWrap/>
            <w:hideMark/>
          </w:tcPr>
          <w:p w14:paraId="0B6B7171"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N/A</w:t>
            </w:r>
          </w:p>
        </w:tc>
      </w:tr>
      <w:tr w:rsidR="0039389D" w:rsidRPr="00FA1B5B" w14:paraId="5AA44231" w14:textId="77777777" w:rsidTr="0039389D">
        <w:trPr>
          <w:trHeight w:val="1104"/>
        </w:trPr>
        <w:tc>
          <w:tcPr>
            <w:tcW w:w="1197" w:type="pct"/>
            <w:vMerge w:val="restart"/>
            <w:hideMark/>
          </w:tcPr>
          <w:p w14:paraId="727D6DF0"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Chemical wastes</w:t>
            </w:r>
          </w:p>
        </w:tc>
        <w:tc>
          <w:tcPr>
            <w:tcW w:w="1711" w:type="pct"/>
            <w:hideMark/>
          </w:tcPr>
          <w:p w14:paraId="50EF88E5"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Regulated </w:t>
            </w:r>
            <w:r>
              <w:rPr>
                <w:rFonts w:eastAsia="Times New Roman" w:cs="Times New Roman"/>
                <w:sz w:val="22"/>
                <w:lang w:eastAsia="en-AU"/>
              </w:rPr>
              <w:t>w</w:t>
            </w:r>
            <w:r w:rsidRPr="00872FBA">
              <w:rPr>
                <w:rFonts w:eastAsia="Times New Roman" w:cs="Times New Roman"/>
                <w:sz w:val="22"/>
                <w:lang w:eastAsia="en-AU"/>
              </w:rPr>
              <w:t xml:space="preserve">aste </w:t>
            </w:r>
            <w:r>
              <w:rPr>
                <w:rFonts w:eastAsia="Times New Roman" w:cs="Times New Roman"/>
                <w:sz w:val="22"/>
                <w:lang w:eastAsia="en-AU"/>
              </w:rPr>
              <w:t>c</w:t>
            </w:r>
            <w:r w:rsidRPr="00872FBA">
              <w:rPr>
                <w:rFonts w:eastAsia="Times New Roman" w:cs="Times New Roman"/>
                <w:sz w:val="22"/>
                <w:lang w:eastAsia="en-AU"/>
              </w:rPr>
              <w:t>at 1</w:t>
            </w:r>
          </w:p>
        </w:tc>
        <w:tc>
          <w:tcPr>
            <w:tcW w:w="2092" w:type="pct"/>
            <w:hideMark/>
          </w:tcPr>
          <w:p w14:paraId="1063AB03"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Regulated waste is category 1 regulated waste if it meets the requirements of section 43 of the EP Regulation.</w:t>
            </w:r>
          </w:p>
        </w:tc>
      </w:tr>
      <w:tr w:rsidR="0039389D" w:rsidRPr="00FA1B5B" w14:paraId="20C89579" w14:textId="77777777" w:rsidTr="0039389D">
        <w:trPr>
          <w:trHeight w:val="840"/>
        </w:trPr>
        <w:tc>
          <w:tcPr>
            <w:tcW w:w="1197" w:type="pct"/>
            <w:vMerge/>
            <w:hideMark/>
          </w:tcPr>
          <w:p w14:paraId="6A8C432A" w14:textId="77777777" w:rsidR="0039389D" w:rsidRPr="00872FBA" w:rsidRDefault="0039389D" w:rsidP="0039389D">
            <w:pPr>
              <w:keepNext/>
              <w:keepLines/>
              <w:spacing w:before="60" w:after="60"/>
              <w:rPr>
                <w:rFonts w:eastAsia="Times New Roman" w:cs="Times New Roman"/>
                <w:sz w:val="22"/>
                <w:lang w:eastAsia="en-AU"/>
              </w:rPr>
            </w:pPr>
          </w:p>
        </w:tc>
        <w:tc>
          <w:tcPr>
            <w:tcW w:w="1711" w:type="pct"/>
            <w:hideMark/>
          </w:tcPr>
          <w:p w14:paraId="21F99BA5"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Regulated </w:t>
            </w:r>
            <w:r>
              <w:rPr>
                <w:rFonts w:eastAsia="Times New Roman" w:cs="Times New Roman"/>
                <w:sz w:val="22"/>
                <w:lang w:eastAsia="en-AU"/>
              </w:rPr>
              <w:t>w</w:t>
            </w:r>
            <w:r w:rsidRPr="00872FBA">
              <w:rPr>
                <w:rFonts w:eastAsia="Times New Roman" w:cs="Times New Roman"/>
                <w:sz w:val="22"/>
                <w:lang w:eastAsia="en-AU"/>
              </w:rPr>
              <w:t xml:space="preserve">aste </w:t>
            </w:r>
            <w:r>
              <w:rPr>
                <w:rFonts w:eastAsia="Times New Roman" w:cs="Times New Roman"/>
                <w:sz w:val="22"/>
                <w:lang w:eastAsia="en-AU"/>
              </w:rPr>
              <w:t>c</w:t>
            </w:r>
            <w:r w:rsidRPr="00872FBA">
              <w:rPr>
                <w:rFonts w:eastAsia="Times New Roman" w:cs="Times New Roman"/>
                <w:sz w:val="22"/>
                <w:lang w:eastAsia="en-AU"/>
              </w:rPr>
              <w:t>at 2</w:t>
            </w:r>
          </w:p>
        </w:tc>
        <w:tc>
          <w:tcPr>
            <w:tcW w:w="2092" w:type="pct"/>
            <w:hideMark/>
          </w:tcPr>
          <w:p w14:paraId="7FD4C64E"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Regulated waste is category 2 regulated waste if it is not category 1 regulated waste.</w:t>
            </w:r>
          </w:p>
        </w:tc>
      </w:tr>
      <w:tr w:rsidR="0039389D" w:rsidRPr="00FA1B5B" w14:paraId="06BA181F" w14:textId="77777777" w:rsidTr="0039389D">
        <w:trPr>
          <w:trHeight w:val="552"/>
        </w:trPr>
        <w:tc>
          <w:tcPr>
            <w:tcW w:w="1197" w:type="pct"/>
            <w:hideMark/>
          </w:tcPr>
          <w:p w14:paraId="4A1B159A"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Sewage</w:t>
            </w:r>
          </w:p>
        </w:tc>
        <w:tc>
          <w:tcPr>
            <w:tcW w:w="1711" w:type="pct"/>
            <w:hideMark/>
          </w:tcPr>
          <w:p w14:paraId="0C189C33"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Septic </w:t>
            </w:r>
            <w:r>
              <w:rPr>
                <w:rFonts w:eastAsia="Times New Roman" w:cs="Times New Roman"/>
                <w:sz w:val="22"/>
                <w:lang w:eastAsia="en-AU"/>
              </w:rPr>
              <w:t>g</w:t>
            </w:r>
            <w:r w:rsidRPr="00872FBA">
              <w:rPr>
                <w:rFonts w:eastAsia="Times New Roman" w:cs="Times New Roman"/>
                <w:sz w:val="22"/>
                <w:lang w:eastAsia="en-AU"/>
              </w:rPr>
              <w:t>eneral</w:t>
            </w:r>
          </w:p>
        </w:tc>
        <w:tc>
          <w:tcPr>
            <w:tcW w:w="2092" w:type="pct"/>
            <w:hideMark/>
          </w:tcPr>
          <w:p w14:paraId="272D0F8B"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Septic waste generated by projects.</w:t>
            </w:r>
          </w:p>
        </w:tc>
      </w:tr>
      <w:tr w:rsidR="0039389D" w:rsidRPr="00FA1B5B" w14:paraId="382BA586" w14:textId="77777777" w:rsidTr="0039389D">
        <w:trPr>
          <w:trHeight w:val="564"/>
        </w:trPr>
        <w:tc>
          <w:tcPr>
            <w:tcW w:w="1197" w:type="pct"/>
            <w:hideMark/>
          </w:tcPr>
          <w:p w14:paraId="2C3C21D3"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Litter or illegally dumped waste</w:t>
            </w:r>
          </w:p>
        </w:tc>
        <w:tc>
          <w:tcPr>
            <w:tcW w:w="1711" w:type="pct"/>
            <w:hideMark/>
          </w:tcPr>
          <w:p w14:paraId="19EA56D9"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 xml:space="preserve">Illegally </w:t>
            </w:r>
            <w:r>
              <w:rPr>
                <w:rFonts w:eastAsia="Times New Roman" w:cs="Times New Roman"/>
                <w:sz w:val="22"/>
                <w:lang w:eastAsia="en-AU"/>
              </w:rPr>
              <w:t>d</w:t>
            </w:r>
            <w:r w:rsidRPr="00872FBA">
              <w:rPr>
                <w:rFonts w:eastAsia="Times New Roman" w:cs="Times New Roman"/>
                <w:sz w:val="22"/>
                <w:lang w:eastAsia="en-AU"/>
              </w:rPr>
              <w:t xml:space="preserve">umped </w:t>
            </w:r>
            <w:r>
              <w:rPr>
                <w:rFonts w:eastAsia="Times New Roman" w:cs="Times New Roman"/>
                <w:sz w:val="22"/>
                <w:lang w:eastAsia="en-AU"/>
              </w:rPr>
              <w:t>r</w:t>
            </w:r>
            <w:r w:rsidRPr="00872FBA">
              <w:rPr>
                <w:rFonts w:eastAsia="Times New Roman" w:cs="Times New Roman"/>
                <w:sz w:val="22"/>
                <w:lang w:eastAsia="en-AU"/>
              </w:rPr>
              <w:t>efuse</w:t>
            </w:r>
          </w:p>
        </w:tc>
        <w:tc>
          <w:tcPr>
            <w:tcW w:w="2092" w:type="pct"/>
            <w:hideMark/>
          </w:tcPr>
          <w:p w14:paraId="4E128957" w14:textId="77777777" w:rsidR="0039389D" w:rsidRPr="00872FBA" w:rsidRDefault="0039389D" w:rsidP="0039389D">
            <w:pPr>
              <w:keepNext/>
              <w:keepLines/>
              <w:spacing w:before="60" w:after="60"/>
              <w:rPr>
                <w:rFonts w:eastAsia="Times New Roman" w:cs="Times New Roman"/>
                <w:sz w:val="22"/>
                <w:lang w:eastAsia="en-AU"/>
              </w:rPr>
            </w:pPr>
            <w:r w:rsidRPr="00872FBA">
              <w:rPr>
                <w:rFonts w:eastAsia="Times New Roman" w:cs="Times New Roman"/>
                <w:sz w:val="22"/>
                <w:lang w:eastAsia="en-AU"/>
              </w:rPr>
              <w:t>Waste collected from road reserve.</w:t>
            </w:r>
          </w:p>
        </w:tc>
      </w:tr>
    </w:tbl>
    <w:p w14:paraId="3FD4C222" w14:textId="77777777" w:rsidR="00FA1B5B" w:rsidRPr="00FA1B5B" w:rsidRDefault="00FA1B5B" w:rsidP="00FA1B5B">
      <w:pPr>
        <w:autoSpaceDE w:val="0"/>
        <w:autoSpaceDN w:val="0"/>
        <w:adjustRightInd w:val="0"/>
        <w:spacing w:after="0" w:line="320" w:lineRule="atLeast"/>
        <w:ind w:left="360"/>
        <w:rPr>
          <w:rFonts w:eastAsia="Arial"/>
          <w:sz w:val="24"/>
          <w:highlight w:val="yellow"/>
        </w:rPr>
      </w:pPr>
    </w:p>
    <w:p w14:paraId="602877E1" w14:textId="0BF41143"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 xml:space="preserve">Please list actions taken by your department/agency to reduce the amount of waste </w:t>
      </w:r>
      <w:r w:rsidRPr="00C5712F">
        <w:rPr>
          <w:rFonts w:eastAsia="Calibri"/>
          <w:b/>
          <w:bCs/>
          <w:color w:val="333333"/>
          <w:sz w:val="22"/>
        </w:rPr>
        <w:t>generated during 2022–23.</w:t>
      </w:r>
    </w:p>
    <w:p w14:paraId="2D46ECD7" w14:textId="77777777" w:rsidR="007F3C71" w:rsidRPr="00C5712F" w:rsidRDefault="007F3C71" w:rsidP="007F3C71">
      <w:pPr>
        <w:autoSpaceDE w:val="0"/>
        <w:autoSpaceDN w:val="0"/>
        <w:adjustRightInd w:val="0"/>
        <w:spacing w:after="160" w:line="259" w:lineRule="auto"/>
        <w:ind w:left="360"/>
        <w:contextualSpacing/>
        <w:rPr>
          <w:rFonts w:eastAsia="Calibri"/>
          <w:b/>
          <w:bCs/>
          <w:color w:val="333333"/>
          <w:sz w:val="22"/>
        </w:rPr>
      </w:pPr>
    </w:p>
    <w:p w14:paraId="0B8BD14D" w14:textId="30DCCDBD" w:rsidR="00FA1B5B" w:rsidRPr="00FA1B5B" w:rsidRDefault="00FA1B5B" w:rsidP="00FA1B5B">
      <w:pPr>
        <w:spacing w:after="0" w:line="320" w:lineRule="atLeast"/>
        <w:rPr>
          <w:rFonts w:eastAsia="Arial" w:cs="Times New Roman"/>
          <w:sz w:val="24"/>
        </w:rPr>
      </w:pPr>
      <w:r w:rsidRPr="00C5712F">
        <w:rPr>
          <w:rFonts w:eastAsia="Calibri" w:cs="Times New Roman"/>
          <w:sz w:val="24"/>
        </w:rPr>
        <w:t>In the 2022–2023 period, TMR monitored the success of previously identified strategies to reduce waste generation.</w:t>
      </w:r>
      <w:r w:rsidRPr="00C5712F">
        <w:rPr>
          <w:rFonts w:eastAsia="Arial" w:cs="Times New Roman"/>
          <w:sz w:val="24"/>
        </w:rPr>
        <w:t xml:space="preserve"> Previous strategies have included the use of the Waste and Recycling Calculator during the development phase of projects to identify potential waste streams and determine management strategies to minimise or divert waste from landfill. Additional strategies have included the requirement for large projects to have a Sustainability Assessment.</w:t>
      </w:r>
      <w:r w:rsidRPr="00FA1B5B">
        <w:rPr>
          <w:rFonts w:eastAsia="Arial" w:cs="Times New Roman"/>
          <w:sz w:val="24"/>
        </w:rPr>
        <w:t xml:space="preserve"> </w:t>
      </w:r>
    </w:p>
    <w:p w14:paraId="0DE9334B" w14:textId="77777777" w:rsidR="00FA1B5B" w:rsidRPr="00FA1B5B" w:rsidRDefault="00FA1B5B" w:rsidP="00FA1B5B">
      <w:pPr>
        <w:spacing w:after="0" w:line="320" w:lineRule="atLeast"/>
        <w:rPr>
          <w:rFonts w:eastAsia="Arial" w:cs="Times New Roman"/>
          <w:sz w:val="24"/>
        </w:rPr>
      </w:pPr>
    </w:p>
    <w:p w14:paraId="46618030" w14:textId="5B9DE722" w:rsidR="00FA1B5B" w:rsidRPr="00FA1B5B" w:rsidRDefault="00FA1B5B" w:rsidP="00FA1B5B">
      <w:pPr>
        <w:spacing w:after="0" w:line="320" w:lineRule="atLeast"/>
        <w:rPr>
          <w:rFonts w:eastAsia="Arial" w:cs="Times New Roman"/>
          <w:sz w:val="24"/>
        </w:rPr>
      </w:pPr>
      <w:r w:rsidRPr="00FA1B5B">
        <w:rPr>
          <w:rFonts w:eastAsia="Arial" w:cs="Times New Roman"/>
          <w:sz w:val="24"/>
        </w:rPr>
        <w:t xml:space="preserve">Case study 2 (page </w:t>
      </w:r>
      <w:r w:rsidR="006367E8">
        <w:rPr>
          <w:rFonts w:eastAsia="Arial" w:cs="Times New Roman"/>
          <w:sz w:val="24"/>
        </w:rPr>
        <w:t>8</w:t>
      </w:r>
      <w:r w:rsidRPr="00FA1B5B">
        <w:rPr>
          <w:rFonts w:eastAsia="Arial" w:cs="Times New Roman"/>
          <w:sz w:val="24"/>
        </w:rPr>
        <w:t xml:space="preserve">) is an example of the success of these strategies. </w:t>
      </w:r>
    </w:p>
    <w:p w14:paraId="257F9744" w14:textId="77777777" w:rsidR="00FA1B5B" w:rsidRPr="00FA1B5B" w:rsidRDefault="00FA1B5B" w:rsidP="00FA1B5B">
      <w:pPr>
        <w:spacing w:after="0" w:line="320" w:lineRule="atLeast"/>
        <w:rPr>
          <w:rFonts w:eastAsia="Arial" w:cs="Times New Roman"/>
          <w:sz w:val="24"/>
          <w:highlight w:val="yellow"/>
        </w:rPr>
      </w:pPr>
    </w:p>
    <w:p w14:paraId="2ADADFC6" w14:textId="77777777" w:rsidR="00FA1B5B" w:rsidRP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actions taken by your department/service to recover, and re-use or recycle waste during 2022–23.</w:t>
      </w:r>
    </w:p>
    <w:p w14:paraId="02326604" w14:textId="77777777" w:rsidR="0039389D" w:rsidRDefault="0039389D" w:rsidP="00FA1B5B">
      <w:pPr>
        <w:spacing w:after="0" w:line="320" w:lineRule="atLeast"/>
        <w:rPr>
          <w:rFonts w:eastAsia="Calibri" w:cs="Times New Roman"/>
          <w:sz w:val="24"/>
        </w:rPr>
      </w:pPr>
    </w:p>
    <w:p w14:paraId="29C78121" w14:textId="718E7BDB" w:rsidR="00FA1B5B" w:rsidRPr="00FA1B5B" w:rsidRDefault="00FA1B5B" w:rsidP="00FA1B5B">
      <w:pPr>
        <w:spacing w:after="0" w:line="320" w:lineRule="atLeast"/>
        <w:rPr>
          <w:rFonts w:eastAsia="Calibri" w:cs="Times New Roman"/>
          <w:sz w:val="24"/>
        </w:rPr>
      </w:pPr>
      <w:r w:rsidRPr="00FA1B5B">
        <w:rPr>
          <w:rFonts w:eastAsia="Calibri" w:cs="Times New Roman"/>
          <w:sz w:val="24"/>
        </w:rPr>
        <w:t xml:space="preserve">In the 2022–2023 period, TMR has monitored the success of previously identified strategies to increase diversion rates and increase the use of recycled materials on infrastructure projects. Previous strategies have included the </w:t>
      </w:r>
      <w:r w:rsidRPr="00C5712F">
        <w:rPr>
          <w:rFonts w:eastAsia="Arial" w:cs="Times New Roman"/>
          <w:sz w:val="24"/>
        </w:rPr>
        <w:t>Waste and Recycling Calculator</w:t>
      </w:r>
      <w:r w:rsidRPr="00C5712F">
        <w:rPr>
          <w:rFonts w:eastAsia="Calibri" w:cs="Times New Roman"/>
          <w:sz w:val="24"/>
        </w:rPr>
        <w:t xml:space="preserve"> and Tender Schedule S12.</w:t>
      </w:r>
      <w:r w:rsidRPr="00FA1B5B">
        <w:rPr>
          <w:rFonts w:eastAsia="Calibri" w:cs="Times New Roman"/>
          <w:sz w:val="24"/>
        </w:rPr>
        <w:t xml:space="preserve"> </w:t>
      </w:r>
    </w:p>
    <w:p w14:paraId="65B18C6D" w14:textId="77777777" w:rsidR="00FA1B5B" w:rsidRPr="00FA1B5B" w:rsidRDefault="00FA1B5B" w:rsidP="00FA1B5B">
      <w:pPr>
        <w:spacing w:after="0" w:line="320" w:lineRule="atLeast"/>
        <w:rPr>
          <w:rFonts w:eastAsia="Calibri" w:cs="Times New Roman"/>
          <w:sz w:val="24"/>
        </w:rPr>
      </w:pPr>
    </w:p>
    <w:p w14:paraId="67652FB3" w14:textId="77777777" w:rsidR="00FA1B5B" w:rsidRPr="00FA1B5B" w:rsidRDefault="00FA1B5B" w:rsidP="00FA1B5B">
      <w:pPr>
        <w:spacing w:after="0" w:line="320" w:lineRule="atLeast"/>
        <w:rPr>
          <w:rFonts w:eastAsia="Calibri" w:cs="Times New Roman"/>
          <w:sz w:val="24"/>
        </w:rPr>
      </w:pPr>
      <w:r w:rsidRPr="00FA1B5B">
        <w:rPr>
          <w:rFonts w:eastAsia="Calibri" w:cs="Times New Roman"/>
          <w:sz w:val="24"/>
        </w:rPr>
        <w:t>There has been ongoing communication with industry regarding these initiatives with information being provided at the following events:</w:t>
      </w:r>
    </w:p>
    <w:p w14:paraId="2FE3DAC4" w14:textId="77777777" w:rsidR="00FA1B5B" w:rsidRPr="00FA1B5B" w:rsidRDefault="00FA1B5B" w:rsidP="00FA1B5B">
      <w:pPr>
        <w:spacing w:after="0" w:line="320" w:lineRule="atLeast"/>
        <w:rPr>
          <w:rFonts w:eastAsia="Arial" w:cs="Times New Roman"/>
          <w:sz w:val="24"/>
        </w:rPr>
      </w:pPr>
    </w:p>
    <w:p w14:paraId="534C6AE4" w14:textId="5C5415AB"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Local Authority Waste Management Action Committee meeting</w:t>
      </w:r>
    </w:p>
    <w:p w14:paraId="35AD96ED"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Tyre Stewardship Australia workshop</w:t>
      </w:r>
    </w:p>
    <w:p w14:paraId="5F83E3BA" w14:textId="3CB12F24"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TMR Consultant Industry Association Group meeting</w:t>
      </w:r>
    </w:p>
    <w:p w14:paraId="61C44A68" w14:textId="23A28B4B"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Engineers Australia Southern Regional Forum</w:t>
      </w:r>
    </w:p>
    <w:p w14:paraId="426770F1" w14:textId="5F182EC2"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Civil Contractors Federation Sustainability Committee meeting.</w:t>
      </w:r>
    </w:p>
    <w:p w14:paraId="15649C61" w14:textId="77777777" w:rsidR="00FA1B5B" w:rsidRPr="00FA1B5B" w:rsidRDefault="00FA1B5B" w:rsidP="00FA1B5B">
      <w:pPr>
        <w:spacing w:after="0" w:line="320" w:lineRule="atLeast"/>
        <w:rPr>
          <w:rFonts w:eastAsia="Calibri" w:cs="Times New Roman"/>
          <w:sz w:val="24"/>
        </w:rPr>
      </w:pPr>
    </w:p>
    <w:p w14:paraId="4FCFEC03" w14:textId="2762357D" w:rsidR="00FA1B5B" w:rsidRPr="00FA1B5B" w:rsidRDefault="00FA1B5B" w:rsidP="00FA1B5B">
      <w:pPr>
        <w:spacing w:after="0" w:line="320" w:lineRule="atLeast"/>
        <w:rPr>
          <w:rFonts w:eastAsia="Arial" w:cs="Times New Roman"/>
          <w:sz w:val="24"/>
        </w:rPr>
      </w:pPr>
      <w:r w:rsidRPr="00FA1B5B">
        <w:rPr>
          <w:rFonts w:eastAsia="Calibri" w:cs="Times New Roman"/>
          <w:sz w:val="24"/>
        </w:rPr>
        <w:t xml:space="preserve">Overall, the feedback from these events is that the changes to TMR </w:t>
      </w:r>
      <w:r w:rsidR="009E7341">
        <w:rPr>
          <w:rFonts w:eastAsia="Calibri" w:cs="Times New Roman"/>
          <w:sz w:val="24"/>
        </w:rPr>
        <w:t>s</w:t>
      </w:r>
      <w:r w:rsidRPr="00FA1B5B">
        <w:rPr>
          <w:rFonts w:eastAsia="Calibri" w:cs="Times New Roman"/>
          <w:sz w:val="24"/>
        </w:rPr>
        <w:t xml:space="preserve">pecifications to increase the use of recycled materials are not well known and that further work is needed to increase industry awareness that TMR supports the use of recycled materials </w:t>
      </w:r>
      <w:r w:rsidRPr="00FA1B5B">
        <w:rPr>
          <w:rFonts w:eastAsia="Arial" w:cs="Times New Roman"/>
          <w:sz w:val="24"/>
        </w:rPr>
        <w:t>where they are:</w:t>
      </w:r>
    </w:p>
    <w:p w14:paraId="769E0075" w14:textId="77777777" w:rsidR="00FA1B5B" w:rsidRPr="00FA1B5B" w:rsidRDefault="00FA1B5B" w:rsidP="00FA1B5B">
      <w:pPr>
        <w:spacing w:after="0" w:line="320" w:lineRule="atLeast"/>
        <w:rPr>
          <w:rFonts w:eastAsia="Arial" w:cs="Times New Roman"/>
          <w:sz w:val="24"/>
        </w:rPr>
      </w:pPr>
    </w:p>
    <w:p w14:paraId="268492C0"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permitted in accordance with TMR’s technical specifications</w:t>
      </w:r>
    </w:p>
    <w:p w14:paraId="46FE882C"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cost competitive with conventional materials</w:t>
      </w:r>
    </w:p>
    <w:p w14:paraId="2DBAD135"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available in quantities applicable to the specific project.</w:t>
      </w:r>
    </w:p>
    <w:p w14:paraId="72F8B432" w14:textId="77777777" w:rsidR="00FA1B5B" w:rsidRPr="00FA1B5B" w:rsidRDefault="00FA1B5B" w:rsidP="00FA1B5B">
      <w:pPr>
        <w:autoSpaceDE w:val="0"/>
        <w:autoSpaceDN w:val="0"/>
        <w:adjustRightInd w:val="0"/>
        <w:spacing w:after="0" w:line="320" w:lineRule="atLeast"/>
        <w:rPr>
          <w:rFonts w:eastAsia="Arial"/>
          <w:b/>
          <w:i/>
          <w:sz w:val="24"/>
          <w:highlight w:val="yellow"/>
        </w:rPr>
      </w:pPr>
    </w:p>
    <w:p w14:paraId="4A25C91E" w14:textId="210F9988"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actions taken by your department/agency to increase the use of recycled materials during 2022–23.</w:t>
      </w:r>
    </w:p>
    <w:p w14:paraId="6E81C0E2" w14:textId="77777777" w:rsidR="0039389D" w:rsidRPr="00FA1B5B" w:rsidRDefault="0039389D" w:rsidP="0039389D">
      <w:pPr>
        <w:autoSpaceDE w:val="0"/>
        <w:autoSpaceDN w:val="0"/>
        <w:adjustRightInd w:val="0"/>
        <w:spacing w:after="160" w:line="259" w:lineRule="auto"/>
        <w:ind w:left="360"/>
        <w:contextualSpacing/>
        <w:rPr>
          <w:rFonts w:eastAsia="Calibri"/>
          <w:b/>
          <w:bCs/>
          <w:color w:val="333333"/>
          <w:sz w:val="22"/>
        </w:rPr>
      </w:pPr>
    </w:p>
    <w:p w14:paraId="26A14D8E" w14:textId="02C3FAC5" w:rsidR="00FA1B5B" w:rsidRPr="00FA1B5B" w:rsidRDefault="00FA1B5B" w:rsidP="00FA1B5B">
      <w:pPr>
        <w:autoSpaceDE w:val="0"/>
        <w:autoSpaceDN w:val="0"/>
        <w:adjustRightInd w:val="0"/>
        <w:spacing w:after="0" w:line="320" w:lineRule="atLeast"/>
        <w:rPr>
          <w:rFonts w:eastAsia="Arial"/>
          <w:sz w:val="24"/>
        </w:rPr>
      </w:pPr>
      <w:r w:rsidRPr="00FA1B5B">
        <w:rPr>
          <w:rFonts w:eastAsia="Arial"/>
          <w:sz w:val="24"/>
        </w:rPr>
        <w:t xml:space="preserve">TMR has continued to use the </w:t>
      </w:r>
      <w:r w:rsidRPr="00C5712F">
        <w:rPr>
          <w:rFonts w:eastAsia="Arial"/>
          <w:sz w:val="24"/>
        </w:rPr>
        <w:t>National Asset Centre of Excellence (NACOE)</w:t>
      </w:r>
      <w:r w:rsidRPr="00FA1B5B">
        <w:rPr>
          <w:rFonts w:eastAsia="Arial"/>
          <w:sz w:val="24"/>
        </w:rPr>
        <w:t xml:space="preserve"> Program, a collaborative research agreement with the Australian Road Research Board, to conduct </w:t>
      </w:r>
      <w:r w:rsidRPr="00FA1B5B">
        <w:rPr>
          <w:rFonts w:eastAsia="Arial"/>
          <w:sz w:val="24"/>
        </w:rPr>
        <w:lastRenderedPageBreak/>
        <w:t xml:space="preserve">research and development on use of recycled materials in infrastructure. The NACOE projects often support multiple strategic objectives and the following projects have been identified as supporting the </w:t>
      </w:r>
      <w:r w:rsidRPr="00FA1B5B">
        <w:rPr>
          <w:rFonts w:eastAsia="Arial"/>
          <w:i/>
          <w:sz w:val="24"/>
        </w:rPr>
        <w:t xml:space="preserve">Waste </w:t>
      </w:r>
      <w:r w:rsidRPr="00FA1B5B">
        <w:rPr>
          <w:rFonts w:eastAsia="Arial"/>
          <w:i/>
          <w:iCs/>
          <w:sz w:val="24"/>
        </w:rPr>
        <w:t xml:space="preserve">2 </w:t>
      </w:r>
      <w:r w:rsidRPr="00FA1B5B">
        <w:rPr>
          <w:rFonts w:eastAsia="Arial"/>
          <w:i/>
          <w:sz w:val="24"/>
        </w:rPr>
        <w:t>Resource Strategy</w:t>
      </w:r>
      <w:r w:rsidRPr="00FA1B5B">
        <w:rPr>
          <w:rFonts w:eastAsia="Arial"/>
          <w:sz w:val="24"/>
        </w:rPr>
        <w:t>:</w:t>
      </w:r>
    </w:p>
    <w:p w14:paraId="15290945" w14:textId="77777777" w:rsidR="00FA1B5B" w:rsidRPr="00FA1B5B" w:rsidRDefault="00FA1B5B" w:rsidP="00FA1B5B">
      <w:pPr>
        <w:autoSpaceDE w:val="0"/>
        <w:autoSpaceDN w:val="0"/>
        <w:adjustRightInd w:val="0"/>
        <w:spacing w:after="0" w:line="320" w:lineRule="atLeast"/>
        <w:rPr>
          <w:rFonts w:eastAsia="Arial"/>
          <w:sz w:val="24"/>
        </w:rPr>
      </w:pPr>
    </w:p>
    <w:p w14:paraId="625556E2" w14:textId="298B4BB9"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P43 – Long Term Pavement Performance Project</w:t>
      </w:r>
    </w:p>
    <w:p w14:paraId="7EF30C7E"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P111 – Improved Crumb Rubber Modified Binder Sprayed Sealing Practices</w:t>
      </w:r>
    </w:p>
    <w:p w14:paraId="4D33294C"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P135 – Optimisation of quarried/recycled pavement material blends</w:t>
      </w:r>
    </w:p>
    <w:p w14:paraId="3EC41543" w14:textId="0E4D3C7B"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 xml:space="preserve">P159 – Strategy, </w:t>
      </w:r>
      <w:r w:rsidR="009E7341">
        <w:rPr>
          <w:rFonts w:eastAsia="Arial"/>
          <w:sz w:val="24"/>
        </w:rPr>
        <w:t>r</w:t>
      </w:r>
      <w:r w:rsidRPr="00FA1B5B">
        <w:rPr>
          <w:rFonts w:eastAsia="Arial"/>
          <w:sz w:val="24"/>
        </w:rPr>
        <w:t xml:space="preserve">esearch program, implementation plan, resource planning for the full-scale APT testing </w:t>
      </w:r>
    </w:p>
    <w:p w14:paraId="03707E37"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P162 – Accurate binder content determination of crumb rubber asphalt mixes (and potentially metal content testing)</w:t>
      </w:r>
    </w:p>
    <w:p w14:paraId="0DA6B36A"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 xml:space="preserve">P163 – Performance assessment of selected LTPP sites </w:t>
      </w:r>
    </w:p>
    <w:p w14:paraId="4F3D9C29"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P166 – Synthesis and dissemination of research findings and implementation concepts for pavements and sustainability</w:t>
      </w:r>
    </w:p>
    <w:p w14:paraId="099CA2A5"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S67 – Future availability of fly ash for concrete production in Queensland</w:t>
      </w:r>
    </w:p>
    <w:p w14:paraId="59184DEF"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S73 – Sustainability for structures</w:t>
      </w:r>
    </w:p>
    <w:p w14:paraId="1472BA4B" w14:textId="4EBA0A34"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 xml:space="preserve">P117 – Sustainability Assessment Tool </w:t>
      </w:r>
      <w:r w:rsidR="00A22305">
        <w:rPr>
          <w:rFonts w:eastAsia="Arial"/>
          <w:sz w:val="24"/>
        </w:rPr>
        <w:t xml:space="preserve">– </w:t>
      </w:r>
      <w:r w:rsidRPr="00FA1B5B">
        <w:rPr>
          <w:rFonts w:eastAsia="Arial"/>
          <w:sz w:val="24"/>
        </w:rPr>
        <w:t>Joint Project with MRWA</w:t>
      </w:r>
    </w:p>
    <w:p w14:paraId="10619B60"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O24 – Recycle materials in stabilisation</w:t>
      </w:r>
    </w:p>
    <w:p w14:paraId="0B927A56"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O25 – Use of recycled materials in earthworks and drainage</w:t>
      </w:r>
    </w:p>
    <w:p w14:paraId="0D6BDB29"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O28 – Recycled materials supplier database</w:t>
      </w:r>
    </w:p>
    <w:p w14:paraId="7DC363EC"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O31 – Regulated waste reduction through recycling paint wash water and raised pavement markers (RPMs)</w:t>
      </w:r>
    </w:p>
    <w:p w14:paraId="4BDD3F22" w14:textId="77777777"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O38 – Decarbonised Construction</w:t>
      </w:r>
    </w:p>
    <w:p w14:paraId="01CBD27F" w14:textId="6EC10059" w:rsidR="00FA1B5B" w:rsidRPr="00FA1B5B" w:rsidRDefault="00FA1B5B" w:rsidP="00FA1B5B">
      <w:pPr>
        <w:numPr>
          <w:ilvl w:val="0"/>
          <w:numId w:val="17"/>
        </w:numPr>
        <w:autoSpaceDE w:val="0"/>
        <w:autoSpaceDN w:val="0"/>
        <w:adjustRightInd w:val="0"/>
        <w:spacing w:after="120" w:line="260" w:lineRule="atLeast"/>
        <w:rPr>
          <w:rFonts w:eastAsia="Arial"/>
          <w:sz w:val="24"/>
        </w:rPr>
      </w:pPr>
      <w:r w:rsidRPr="00FA1B5B">
        <w:rPr>
          <w:rFonts w:eastAsia="Arial"/>
          <w:sz w:val="24"/>
        </w:rPr>
        <w:t>O37– Railway Ballast recycling (joint project with Q</w:t>
      </w:r>
      <w:r w:rsidR="00A22305">
        <w:rPr>
          <w:rFonts w:eastAsia="Arial"/>
          <w:sz w:val="24"/>
        </w:rPr>
        <w:t xml:space="preserve">ueensland </w:t>
      </w:r>
      <w:r w:rsidRPr="00FA1B5B">
        <w:rPr>
          <w:rFonts w:eastAsia="Arial"/>
          <w:sz w:val="24"/>
        </w:rPr>
        <w:t>R</w:t>
      </w:r>
      <w:r w:rsidR="00A22305">
        <w:rPr>
          <w:rFonts w:eastAsia="Arial"/>
          <w:sz w:val="24"/>
        </w:rPr>
        <w:t>ail</w:t>
      </w:r>
      <w:r w:rsidRPr="00FA1B5B">
        <w:rPr>
          <w:rFonts w:eastAsia="Arial"/>
          <w:sz w:val="24"/>
        </w:rPr>
        <w:t>).</w:t>
      </w:r>
    </w:p>
    <w:p w14:paraId="03570F22" w14:textId="77777777" w:rsidR="00FA1B5B" w:rsidRPr="00FA1B5B" w:rsidRDefault="00FA1B5B" w:rsidP="00FA1B5B">
      <w:pPr>
        <w:autoSpaceDE w:val="0"/>
        <w:autoSpaceDN w:val="0"/>
        <w:adjustRightInd w:val="0"/>
        <w:spacing w:after="0" w:line="320" w:lineRule="atLeast"/>
        <w:rPr>
          <w:rFonts w:eastAsia="Arial"/>
          <w:sz w:val="24"/>
          <w:highlight w:val="yellow"/>
        </w:rPr>
      </w:pPr>
    </w:p>
    <w:p w14:paraId="3DEC3949" w14:textId="4E696C3A" w:rsidR="00FA1B5B" w:rsidRPr="00FA1B5B" w:rsidRDefault="00FA1B5B" w:rsidP="00FA1B5B">
      <w:pPr>
        <w:autoSpaceDE w:val="0"/>
        <w:autoSpaceDN w:val="0"/>
        <w:adjustRightInd w:val="0"/>
        <w:spacing w:after="0" w:line="320" w:lineRule="atLeast"/>
        <w:rPr>
          <w:rFonts w:eastAsia="Arial"/>
          <w:sz w:val="24"/>
        </w:rPr>
      </w:pPr>
      <w:r w:rsidRPr="00FA1B5B">
        <w:rPr>
          <w:rFonts w:eastAsia="Arial"/>
          <w:sz w:val="24"/>
        </w:rPr>
        <w:t>There are case studies for P117, O25 and O28 in the</w:t>
      </w:r>
      <w:r w:rsidR="00A22305">
        <w:rPr>
          <w:rFonts w:eastAsia="Arial"/>
          <w:sz w:val="24"/>
        </w:rPr>
        <w:t xml:space="preserve"> W2R Strategy implementation </w:t>
      </w:r>
      <w:r w:rsidRPr="00FA1B5B">
        <w:rPr>
          <w:rFonts w:eastAsia="Arial"/>
          <w:sz w:val="24"/>
        </w:rPr>
        <w:t>section of this report</w:t>
      </w:r>
      <w:r w:rsidR="00A22305">
        <w:rPr>
          <w:rFonts w:eastAsia="Arial"/>
          <w:sz w:val="24"/>
        </w:rPr>
        <w:t xml:space="preserve"> (page </w:t>
      </w:r>
      <w:r w:rsidR="0039389D">
        <w:rPr>
          <w:rFonts w:eastAsia="Arial"/>
          <w:sz w:val="24"/>
        </w:rPr>
        <w:t>1</w:t>
      </w:r>
      <w:r w:rsidR="004525E3">
        <w:rPr>
          <w:rFonts w:eastAsia="Arial"/>
          <w:sz w:val="24"/>
        </w:rPr>
        <w:t>3</w:t>
      </w:r>
      <w:r w:rsidR="00A22305">
        <w:rPr>
          <w:rFonts w:eastAsia="Arial"/>
          <w:sz w:val="24"/>
        </w:rPr>
        <w:t>)</w:t>
      </w:r>
      <w:r w:rsidRPr="00FA1B5B">
        <w:rPr>
          <w:rFonts w:eastAsia="Arial"/>
          <w:sz w:val="24"/>
        </w:rPr>
        <w:t>.</w:t>
      </w:r>
    </w:p>
    <w:p w14:paraId="2A5E7D41" w14:textId="77777777" w:rsidR="00FA1B5B" w:rsidRPr="00FA1B5B" w:rsidRDefault="00FA1B5B" w:rsidP="00FA1B5B">
      <w:pPr>
        <w:autoSpaceDE w:val="0"/>
        <w:autoSpaceDN w:val="0"/>
        <w:adjustRightInd w:val="0"/>
        <w:spacing w:after="0" w:line="320" w:lineRule="atLeast"/>
        <w:rPr>
          <w:rFonts w:eastAsia="Arial"/>
          <w:sz w:val="24"/>
          <w:highlight w:val="yellow"/>
        </w:rPr>
      </w:pPr>
    </w:p>
    <w:p w14:paraId="05F7E5B5" w14:textId="77777777" w:rsidR="00FA1B5B" w:rsidRP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progress made by your department/agency in relation to its waste and recycling performance indicators during 2022–23.</w:t>
      </w:r>
    </w:p>
    <w:p w14:paraId="123401FC" w14:textId="77777777" w:rsidR="00FA1B5B" w:rsidRPr="00FA1B5B" w:rsidRDefault="00FA1B5B" w:rsidP="00FA1B5B">
      <w:pPr>
        <w:spacing w:after="0" w:line="320" w:lineRule="atLeast"/>
        <w:rPr>
          <w:rFonts w:eastAsia="Calibri" w:cs="Times New Roman"/>
          <w:sz w:val="24"/>
        </w:rPr>
      </w:pPr>
    </w:p>
    <w:p w14:paraId="703CE0FC" w14:textId="230A6F0F" w:rsidR="00FA1B5B" w:rsidRPr="00FA1B5B" w:rsidRDefault="00FA1B5B" w:rsidP="00FA1B5B">
      <w:pPr>
        <w:spacing w:after="0" w:line="320" w:lineRule="atLeast"/>
        <w:rPr>
          <w:rFonts w:eastAsia="Calibri" w:cs="Times New Roman"/>
          <w:sz w:val="24"/>
        </w:rPr>
      </w:pPr>
      <w:r w:rsidRPr="00FA1B5B">
        <w:rPr>
          <w:rFonts w:eastAsia="Calibri" w:cs="Times New Roman"/>
          <w:sz w:val="24"/>
        </w:rPr>
        <w:t xml:space="preserve">The focus for </w:t>
      </w:r>
      <w:r w:rsidRPr="00FA1B5B">
        <w:rPr>
          <w:rFonts w:eastAsia="Arial" w:cs="Times New Roman"/>
          <w:sz w:val="24"/>
        </w:rPr>
        <w:t>2022–2023</w:t>
      </w:r>
      <w:r w:rsidRPr="00FA1B5B">
        <w:rPr>
          <w:rFonts w:eastAsia="Calibri" w:cs="Times New Roman"/>
          <w:sz w:val="24"/>
        </w:rPr>
        <w:t xml:space="preserve"> has been to improve data collection and analysis to support the other strategy pillars in the TMR </w:t>
      </w:r>
      <w:r w:rsidRPr="0039389D">
        <w:rPr>
          <w:rFonts w:eastAsia="Calibri" w:cs="Times New Roman"/>
          <w:i/>
          <w:iCs/>
          <w:sz w:val="24"/>
        </w:rPr>
        <w:t>Waste to Resource Plan</w:t>
      </w:r>
      <w:r w:rsidRPr="00FA1B5B">
        <w:rPr>
          <w:rFonts w:eastAsia="Calibri" w:cs="Times New Roman"/>
          <w:sz w:val="24"/>
        </w:rPr>
        <w:t xml:space="preserve">. A process for internal reporting on the </w:t>
      </w:r>
      <w:r w:rsidRPr="0039389D">
        <w:rPr>
          <w:rFonts w:eastAsia="Calibri" w:cs="Times New Roman"/>
          <w:i/>
          <w:iCs/>
          <w:sz w:val="24"/>
        </w:rPr>
        <w:t>Contract Waste data submission</w:t>
      </w:r>
      <w:r w:rsidRPr="00FA1B5B">
        <w:rPr>
          <w:rFonts w:eastAsia="Calibri" w:cs="Times New Roman"/>
          <w:sz w:val="24"/>
        </w:rPr>
        <w:t xml:space="preserve"> was implemented during </w:t>
      </w:r>
      <w:r w:rsidRPr="00FA1B5B">
        <w:rPr>
          <w:rFonts w:eastAsia="Arial" w:cs="Times New Roman"/>
          <w:sz w:val="24"/>
        </w:rPr>
        <w:t>2022–2023</w:t>
      </w:r>
      <w:r w:rsidRPr="00FA1B5B">
        <w:rPr>
          <w:rFonts w:eastAsia="Calibri" w:cs="Times New Roman"/>
          <w:sz w:val="24"/>
        </w:rPr>
        <w:t xml:space="preserve"> as contract waste represents the primary source of waste data for TMR. Increased visibility of transport infrastructure contracts that were anticipated to submit waste data and contracts that had submitted waste data has resulted in an increase in the contract waste reported for the period. </w:t>
      </w:r>
      <w:r w:rsidRPr="00FA1B5B">
        <w:rPr>
          <w:rFonts w:eastAsia="Arial" w:cs="Times New Roman"/>
          <w:sz w:val="24"/>
        </w:rPr>
        <w:t>There were 44 contracts reported in 2022–2023 compared to 15 contracts reported in 2021–2022.</w:t>
      </w:r>
      <w:r w:rsidRPr="00FA1B5B">
        <w:rPr>
          <w:rFonts w:eastAsia="Calibri" w:cs="Times New Roman"/>
          <w:sz w:val="24"/>
        </w:rPr>
        <w:t xml:space="preserve">There is ongoing work to raise awareness of the use of contract waste data to ensure that this improvement can be maintained. </w:t>
      </w:r>
    </w:p>
    <w:p w14:paraId="6A90057A" w14:textId="77777777" w:rsidR="00FA1B5B" w:rsidRPr="00FA1B5B" w:rsidRDefault="00FA1B5B" w:rsidP="00FA1B5B">
      <w:pPr>
        <w:spacing w:after="0" w:line="320" w:lineRule="atLeast"/>
        <w:rPr>
          <w:rFonts w:eastAsia="Arial" w:cs="Times New Roman"/>
          <w:sz w:val="24"/>
          <w:highlight w:val="yellow"/>
        </w:rPr>
      </w:pPr>
    </w:p>
    <w:p w14:paraId="322F02BF" w14:textId="77777777" w:rsidR="00FA1B5B" w:rsidRPr="00FA1B5B" w:rsidRDefault="00FA1B5B" w:rsidP="00FA1B5B">
      <w:pPr>
        <w:spacing w:after="0" w:line="320" w:lineRule="atLeast"/>
        <w:rPr>
          <w:rFonts w:eastAsia="Arial" w:cs="Times New Roman"/>
          <w:i/>
          <w:sz w:val="24"/>
          <w:highlight w:val="yellow"/>
        </w:rPr>
      </w:pPr>
    </w:p>
    <w:p w14:paraId="508922AA" w14:textId="77777777"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the ways in which your department/agency has contributed towards achieving the goals and targets under Queensland's waste management strategy during 2022–23.</w:t>
      </w:r>
    </w:p>
    <w:p w14:paraId="77E51078" w14:textId="77777777" w:rsidR="00094532" w:rsidRPr="00FA1B5B" w:rsidRDefault="00094532" w:rsidP="0039389D">
      <w:pPr>
        <w:autoSpaceDE w:val="0"/>
        <w:autoSpaceDN w:val="0"/>
        <w:adjustRightInd w:val="0"/>
        <w:spacing w:after="160" w:line="259" w:lineRule="auto"/>
        <w:contextualSpacing/>
        <w:rPr>
          <w:rFonts w:eastAsia="Calibri"/>
          <w:b/>
          <w:bCs/>
          <w:color w:val="333333"/>
          <w:sz w:val="22"/>
        </w:rPr>
      </w:pPr>
    </w:p>
    <w:p w14:paraId="3803C653" w14:textId="70DCB1C1" w:rsidR="00FA1B5B" w:rsidRPr="00FA1B5B" w:rsidRDefault="00FA1B5B" w:rsidP="00FA1B5B">
      <w:pPr>
        <w:spacing w:after="0" w:line="320" w:lineRule="atLeast"/>
        <w:rPr>
          <w:rFonts w:eastAsia="Calibri" w:cs="Times New Roman"/>
          <w:sz w:val="24"/>
        </w:rPr>
      </w:pPr>
      <w:r w:rsidRPr="00FA1B5B">
        <w:rPr>
          <w:rFonts w:eastAsia="Calibri" w:cs="Times New Roman"/>
          <w:sz w:val="24"/>
        </w:rPr>
        <w:t xml:space="preserve">The performance against the targets in the Queensland's waste management strategy are shown in Table </w:t>
      </w:r>
      <w:r w:rsidR="0039389D">
        <w:rPr>
          <w:rFonts w:eastAsia="Calibri" w:cs="Times New Roman"/>
          <w:sz w:val="24"/>
        </w:rPr>
        <w:t>6</w:t>
      </w:r>
      <w:r w:rsidRPr="00FA1B5B">
        <w:rPr>
          <w:rFonts w:eastAsia="Calibri" w:cs="Times New Roman"/>
          <w:sz w:val="24"/>
        </w:rPr>
        <w:t xml:space="preserve">. There has been a reduction in the diversion rate compared to the last reporting year, but the diversion rate continues to be above the diversion target. TMR has adopted the waste diversion targets for </w:t>
      </w:r>
      <w:r w:rsidR="00A56499">
        <w:rPr>
          <w:rFonts w:eastAsia="Calibri" w:cs="Times New Roman"/>
          <w:sz w:val="24"/>
        </w:rPr>
        <w:t>c</w:t>
      </w:r>
      <w:r w:rsidRPr="00FA1B5B">
        <w:rPr>
          <w:rFonts w:eastAsia="Calibri" w:cs="Times New Roman"/>
          <w:sz w:val="24"/>
        </w:rPr>
        <w:t xml:space="preserve">onstruction and </w:t>
      </w:r>
      <w:r w:rsidR="00A56499">
        <w:rPr>
          <w:rFonts w:eastAsia="Calibri" w:cs="Times New Roman"/>
          <w:sz w:val="24"/>
        </w:rPr>
        <w:t>d</w:t>
      </w:r>
      <w:r w:rsidRPr="00FA1B5B">
        <w:rPr>
          <w:rFonts w:eastAsia="Calibri" w:cs="Times New Roman"/>
          <w:sz w:val="24"/>
        </w:rPr>
        <w:t xml:space="preserve">emolition waste as described in </w:t>
      </w:r>
      <w:r w:rsidRPr="0039389D">
        <w:rPr>
          <w:rFonts w:eastAsia="Arial" w:cs="Times New Roman"/>
          <w:i/>
          <w:iCs/>
          <w:sz w:val="24"/>
        </w:rPr>
        <w:t>2020 Waste Management and Resource Recovery Strategy</w:t>
      </w:r>
      <w:r w:rsidRPr="00FA1B5B">
        <w:rPr>
          <w:rFonts w:eastAsia="Arial" w:cs="Times New Roman"/>
          <w:sz w:val="24"/>
        </w:rPr>
        <w:t>.</w:t>
      </w:r>
    </w:p>
    <w:p w14:paraId="03DC2D95" w14:textId="26DE38A1" w:rsidR="00FA1B5B" w:rsidRPr="0039389D" w:rsidRDefault="00FA1B5B" w:rsidP="00FA1B5B">
      <w:pPr>
        <w:keepNext/>
        <w:tabs>
          <w:tab w:val="left" w:pos="1134"/>
        </w:tabs>
        <w:spacing w:before="240" w:after="120" w:line="260" w:lineRule="atLeast"/>
        <w:ind w:left="1134" w:hanging="1134"/>
        <w:rPr>
          <w:rFonts w:eastAsia="Arial" w:cs="Times New Roman"/>
          <w:b/>
          <w:i/>
          <w:iCs/>
          <w:color w:val="002060"/>
          <w:sz w:val="24"/>
          <w:szCs w:val="24"/>
          <w:lang w:eastAsia="en-AU"/>
        </w:rPr>
      </w:pPr>
      <w:r w:rsidRPr="0039389D">
        <w:rPr>
          <w:rFonts w:eastAsia="Times New Roman" w:cs="Times New Roman"/>
          <w:b/>
          <w:i/>
          <w:iCs/>
          <w:color w:val="002060"/>
          <w:sz w:val="24"/>
          <w:szCs w:val="24"/>
          <w:lang w:eastAsia="en-AU"/>
        </w:rPr>
        <w:t xml:space="preserve">Table </w:t>
      </w:r>
      <w:r w:rsidR="0039389D" w:rsidRPr="0039389D">
        <w:rPr>
          <w:rFonts w:eastAsia="Times New Roman" w:cs="Times New Roman"/>
          <w:b/>
          <w:i/>
          <w:iCs/>
          <w:color w:val="002060"/>
          <w:sz w:val="24"/>
          <w:szCs w:val="24"/>
          <w:lang w:eastAsia="en-AU"/>
        </w:rPr>
        <w:t>6</w:t>
      </w:r>
      <w:r w:rsidRPr="0039389D">
        <w:rPr>
          <w:rFonts w:eastAsia="Times New Roman" w:cs="Times New Roman"/>
          <w:b/>
          <w:i/>
          <w:iCs/>
          <w:noProof/>
          <w:color w:val="002060"/>
          <w:sz w:val="24"/>
          <w:szCs w:val="24"/>
          <w:lang w:eastAsia="en-AU"/>
        </w:rPr>
        <w:t>:</w:t>
      </w:r>
      <w:r w:rsidRPr="0039389D">
        <w:rPr>
          <w:rFonts w:eastAsia="Times New Roman" w:cs="Times New Roman"/>
          <w:b/>
          <w:i/>
          <w:iCs/>
          <w:color w:val="002060"/>
          <w:sz w:val="24"/>
          <w:szCs w:val="24"/>
          <w:lang w:eastAsia="en-AU"/>
        </w:rPr>
        <w:t xml:space="preserve"> Annual </w:t>
      </w:r>
      <w:r w:rsidR="00C739EB" w:rsidRPr="0039389D">
        <w:rPr>
          <w:rFonts w:eastAsia="Times New Roman" w:cs="Times New Roman"/>
          <w:b/>
          <w:i/>
          <w:iCs/>
          <w:color w:val="002060"/>
          <w:sz w:val="24"/>
          <w:szCs w:val="24"/>
          <w:lang w:eastAsia="en-AU"/>
        </w:rPr>
        <w:t>t</w:t>
      </w:r>
      <w:r w:rsidRPr="0039389D">
        <w:rPr>
          <w:rFonts w:eastAsia="Times New Roman" w:cs="Times New Roman"/>
          <w:b/>
          <w:i/>
          <w:iCs/>
          <w:color w:val="002060"/>
          <w:sz w:val="24"/>
          <w:szCs w:val="24"/>
          <w:lang w:eastAsia="en-AU"/>
        </w:rPr>
        <w:t xml:space="preserve">rend – </w:t>
      </w:r>
      <w:r w:rsidR="00C739EB" w:rsidRPr="0039389D">
        <w:rPr>
          <w:rFonts w:eastAsia="Times New Roman" w:cs="Times New Roman"/>
          <w:b/>
          <w:i/>
          <w:iCs/>
          <w:color w:val="002060"/>
          <w:sz w:val="24"/>
          <w:szCs w:val="24"/>
          <w:lang w:eastAsia="en-AU"/>
        </w:rPr>
        <w:t>d</w:t>
      </w:r>
      <w:r w:rsidRPr="0039389D">
        <w:rPr>
          <w:rFonts w:eastAsia="Times New Roman" w:cs="Times New Roman"/>
          <w:b/>
          <w:i/>
          <w:iCs/>
          <w:color w:val="002060"/>
          <w:sz w:val="24"/>
          <w:szCs w:val="24"/>
          <w:lang w:eastAsia="en-AU"/>
        </w:rPr>
        <w:t>iversion rate and diversion target</w:t>
      </w:r>
      <w:r w:rsidR="0039389D" w:rsidRPr="0039389D">
        <w:rPr>
          <w:rFonts w:eastAsia="Times New Roman" w:cs="Times New Roman"/>
          <w:b/>
          <w:i/>
          <w:iCs/>
          <w:color w:val="002060"/>
          <w:sz w:val="24"/>
          <w:szCs w:val="24"/>
          <w:lang w:eastAsia="en-AU"/>
        </w:rPr>
        <w:t>.</w:t>
      </w:r>
    </w:p>
    <w:tbl>
      <w:tblPr>
        <w:tblStyle w:val="NavyTable"/>
        <w:tblW w:w="8964" w:type="dxa"/>
        <w:tblLook w:val="06A0" w:firstRow="1" w:lastRow="0" w:firstColumn="1" w:lastColumn="0" w:noHBand="1" w:noVBand="1"/>
      </w:tblPr>
      <w:tblGrid>
        <w:gridCol w:w="1496"/>
        <w:gridCol w:w="1231"/>
        <w:gridCol w:w="1276"/>
        <w:gridCol w:w="1276"/>
        <w:gridCol w:w="1134"/>
        <w:gridCol w:w="1276"/>
        <w:gridCol w:w="1275"/>
      </w:tblGrid>
      <w:tr w:rsidR="00FA1B5B" w:rsidRPr="00FA1B5B" w14:paraId="29A58545" w14:textId="77777777" w:rsidTr="00A22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dxa"/>
            <w:noWrap/>
            <w:hideMark/>
          </w:tcPr>
          <w:p w14:paraId="30CD4EEC" w14:textId="62E45812" w:rsidR="00FA1B5B" w:rsidRPr="00FA1B5B" w:rsidRDefault="00FA1B5B" w:rsidP="00FA1B5B">
            <w:pPr>
              <w:spacing w:before="60" w:after="60"/>
              <w:rPr>
                <w:rFonts w:eastAsia="Times New Roman"/>
                <w:sz w:val="18"/>
                <w:szCs w:val="24"/>
                <w:lang w:eastAsia="en-AU"/>
              </w:rPr>
            </w:pPr>
            <w:r w:rsidRPr="00FA1B5B">
              <w:rPr>
                <w:rFonts w:eastAsia="Times New Roman"/>
                <w:sz w:val="18"/>
                <w:szCs w:val="24"/>
                <w:lang w:eastAsia="en-AU"/>
              </w:rPr>
              <w:t xml:space="preserve">Reporting </w:t>
            </w:r>
            <w:r w:rsidR="00A22305">
              <w:rPr>
                <w:rFonts w:eastAsia="Times New Roman"/>
                <w:sz w:val="18"/>
                <w:szCs w:val="24"/>
                <w:lang w:eastAsia="en-AU"/>
              </w:rPr>
              <w:t>ye</w:t>
            </w:r>
            <w:r w:rsidRPr="00FA1B5B">
              <w:rPr>
                <w:rFonts w:eastAsia="Times New Roman"/>
                <w:sz w:val="18"/>
                <w:szCs w:val="24"/>
                <w:lang w:eastAsia="en-AU"/>
              </w:rPr>
              <w:t>ar</w:t>
            </w:r>
          </w:p>
        </w:tc>
        <w:tc>
          <w:tcPr>
            <w:tcW w:w="1231" w:type="dxa"/>
            <w:noWrap/>
            <w:hideMark/>
          </w:tcPr>
          <w:p w14:paraId="4F598A80" w14:textId="60854B45"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2017</w:t>
            </w:r>
            <w:r w:rsidR="00A22305">
              <w:rPr>
                <w:rFonts w:eastAsia="Times New Roman"/>
                <w:sz w:val="18"/>
                <w:szCs w:val="24"/>
                <w:lang w:eastAsia="en-AU"/>
              </w:rPr>
              <w:t>-</w:t>
            </w:r>
            <w:r w:rsidRPr="00FA1B5B">
              <w:rPr>
                <w:rFonts w:eastAsia="Times New Roman"/>
                <w:sz w:val="18"/>
                <w:szCs w:val="24"/>
                <w:lang w:eastAsia="en-AU"/>
              </w:rPr>
              <w:t>2018</w:t>
            </w:r>
          </w:p>
        </w:tc>
        <w:tc>
          <w:tcPr>
            <w:tcW w:w="1276" w:type="dxa"/>
            <w:noWrap/>
            <w:hideMark/>
          </w:tcPr>
          <w:p w14:paraId="39233761" w14:textId="639EBB9B"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2018</w:t>
            </w:r>
            <w:r w:rsidR="00C739EB">
              <w:rPr>
                <w:rFonts w:eastAsia="Times New Roman"/>
                <w:sz w:val="18"/>
                <w:szCs w:val="24"/>
                <w:lang w:eastAsia="en-AU"/>
              </w:rPr>
              <w:t>-</w:t>
            </w:r>
            <w:r w:rsidRPr="00FA1B5B">
              <w:rPr>
                <w:rFonts w:eastAsia="Times New Roman"/>
                <w:sz w:val="18"/>
                <w:szCs w:val="24"/>
                <w:lang w:eastAsia="en-AU"/>
              </w:rPr>
              <w:t>2019</w:t>
            </w:r>
          </w:p>
        </w:tc>
        <w:tc>
          <w:tcPr>
            <w:tcW w:w="1276" w:type="dxa"/>
            <w:noWrap/>
            <w:hideMark/>
          </w:tcPr>
          <w:p w14:paraId="171046C7" w14:textId="1E81ED9E"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2019</w:t>
            </w:r>
            <w:r w:rsidR="00A22305">
              <w:rPr>
                <w:rFonts w:eastAsia="Times New Roman"/>
                <w:sz w:val="18"/>
                <w:szCs w:val="24"/>
                <w:lang w:eastAsia="en-AU"/>
              </w:rPr>
              <w:t>-</w:t>
            </w:r>
            <w:r w:rsidRPr="00FA1B5B">
              <w:rPr>
                <w:rFonts w:eastAsia="Times New Roman"/>
                <w:sz w:val="18"/>
                <w:szCs w:val="24"/>
                <w:lang w:eastAsia="en-AU"/>
              </w:rPr>
              <w:t>2020</w:t>
            </w:r>
          </w:p>
        </w:tc>
        <w:tc>
          <w:tcPr>
            <w:tcW w:w="1134" w:type="dxa"/>
            <w:noWrap/>
            <w:hideMark/>
          </w:tcPr>
          <w:p w14:paraId="6677FF28" w14:textId="3267EC9E"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2020</w:t>
            </w:r>
            <w:r w:rsidR="00A22305">
              <w:rPr>
                <w:rFonts w:eastAsia="Times New Roman"/>
                <w:sz w:val="18"/>
                <w:szCs w:val="24"/>
                <w:lang w:eastAsia="en-AU"/>
              </w:rPr>
              <w:t>-</w:t>
            </w:r>
            <w:r w:rsidRPr="00FA1B5B">
              <w:rPr>
                <w:rFonts w:eastAsia="Times New Roman"/>
                <w:sz w:val="18"/>
                <w:szCs w:val="24"/>
                <w:lang w:eastAsia="en-AU"/>
              </w:rPr>
              <w:t>2021</w:t>
            </w:r>
          </w:p>
        </w:tc>
        <w:tc>
          <w:tcPr>
            <w:tcW w:w="1276" w:type="dxa"/>
            <w:noWrap/>
            <w:hideMark/>
          </w:tcPr>
          <w:p w14:paraId="24848A95" w14:textId="7E2733DE"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2021</w:t>
            </w:r>
            <w:r w:rsidR="00A22305">
              <w:rPr>
                <w:rFonts w:eastAsia="Times New Roman"/>
                <w:sz w:val="18"/>
                <w:szCs w:val="24"/>
                <w:lang w:eastAsia="en-AU"/>
              </w:rPr>
              <w:t>-</w:t>
            </w:r>
            <w:r w:rsidRPr="00FA1B5B">
              <w:rPr>
                <w:rFonts w:eastAsia="Times New Roman"/>
                <w:sz w:val="18"/>
                <w:szCs w:val="24"/>
                <w:lang w:eastAsia="en-AU"/>
              </w:rPr>
              <w:t>2022</w:t>
            </w:r>
          </w:p>
        </w:tc>
        <w:tc>
          <w:tcPr>
            <w:tcW w:w="1275" w:type="dxa"/>
            <w:noWrap/>
            <w:hideMark/>
          </w:tcPr>
          <w:p w14:paraId="0BC542EF" w14:textId="4792CB69" w:rsidR="00FA1B5B" w:rsidRPr="00FA1B5B"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2022</w:t>
            </w:r>
            <w:r w:rsidR="00A22305">
              <w:rPr>
                <w:rFonts w:eastAsia="Times New Roman"/>
                <w:sz w:val="18"/>
                <w:szCs w:val="24"/>
                <w:lang w:eastAsia="en-AU"/>
              </w:rPr>
              <w:t>-</w:t>
            </w:r>
            <w:r w:rsidRPr="00FA1B5B">
              <w:rPr>
                <w:rFonts w:eastAsia="Times New Roman"/>
                <w:sz w:val="18"/>
                <w:szCs w:val="24"/>
                <w:lang w:eastAsia="en-AU"/>
              </w:rPr>
              <w:t>2023</w:t>
            </w:r>
          </w:p>
        </w:tc>
      </w:tr>
      <w:tr w:rsidR="00FA1B5B" w:rsidRPr="00FA1B5B" w14:paraId="4BB8D44C" w14:textId="77777777" w:rsidTr="00A22305">
        <w:trPr>
          <w:trHeight w:val="300"/>
        </w:trPr>
        <w:tc>
          <w:tcPr>
            <w:cnfStyle w:val="001000000000" w:firstRow="0" w:lastRow="0" w:firstColumn="1" w:lastColumn="0" w:oddVBand="0" w:evenVBand="0" w:oddHBand="0" w:evenHBand="0" w:firstRowFirstColumn="0" w:firstRowLastColumn="0" w:lastRowFirstColumn="0" w:lastRowLastColumn="0"/>
            <w:tcW w:w="1496" w:type="dxa"/>
            <w:noWrap/>
            <w:hideMark/>
          </w:tcPr>
          <w:p w14:paraId="4DF6759E" w14:textId="54EA3165" w:rsidR="00FA1B5B" w:rsidRPr="00FA1B5B" w:rsidRDefault="00FA1B5B" w:rsidP="00FA1B5B">
            <w:pPr>
              <w:spacing w:before="60" w:after="60"/>
              <w:rPr>
                <w:rFonts w:eastAsia="Times New Roman"/>
                <w:sz w:val="18"/>
                <w:szCs w:val="24"/>
                <w:lang w:eastAsia="en-AU"/>
              </w:rPr>
            </w:pPr>
            <w:r w:rsidRPr="00FA1B5B">
              <w:rPr>
                <w:rFonts w:eastAsia="Times New Roman"/>
                <w:sz w:val="18"/>
                <w:szCs w:val="24"/>
                <w:lang w:eastAsia="en-AU"/>
              </w:rPr>
              <w:t xml:space="preserve">Diversion </w:t>
            </w:r>
            <w:r w:rsidR="00A22305">
              <w:rPr>
                <w:rFonts w:eastAsia="Times New Roman"/>
                <w:sz w:val="18"/>
                <w:szCs w:val="24"/>
                <w:lang w:eastAsia="en-AU"/>
              </w:rPr>
              <w:t>r</w:t>
            </w:r>
            <w:r w:rsidRPr="00FA1B5B">
              <w:rPr>
                <w:rFonts w:eastAsia="Times New Roman"/>
                <w:sz w:val="18"/>
                <w:szCs w:val="24"/>
                <w:lang w:eastAsia="en-AU"/>
              </w:rPr>
              <w:t>ate</w:t>
            </w:r>
          </w:p>
        </w:tc>
        <w:tc>
          <w:tcPr>
            <w:tcW w:w="1231" w:type="dxa"/>
            <w:noWrap/>
            <w:hideMark/>
          </w:tcPr>
          <w:p w14:paraId="030B082B"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83%</w:t>
            </w:r>
          </w:p>
        </w:tc>
        <w:tc>
          <w:tcPr>
            <w:tcW w:w="1276" w:type="dxa"/>
            <w:noWrap/>
            <w:hideMark/>
          </w:tcPr>
          <w:p w14:paraId="5944FDF6"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68%</w:t>
            </w:r>
          </w:p>
        </w:tc>
        <w:tc>
          <w:tcPr>
            <w:tcW w:w="1276" w:type="dxa"/>
            <w:noWrap/>
            <w:hideMark/>
          </w:tcPr>
          <w:p w14:paraId="46CFA3E1"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77%</w:t>
            </w:r>
          </w:p>
        </w:tc>
        <w:tc>
          <w:tcPr>
            <w:tcW w:w="1134" w:type="dxa"/>
            <w:noWrap/>
            <w:hideMark/>
          </w:tcPr>
          <w:p w14:paraId="26CED398"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88%</w:t>
            </w:r>
          </w:p>
        </w:tc>
        <w:tc>
          <w:tcPr>
            <w:tcW w:w="1276" w:type="dxa"/>
            <w:noWrap/>
            <w:hideMark/>
          </w:tcPr>
          <w:p w14:paraId="6798346D"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85%</w:t>
            </w:r>
          </w:p>
        </w:tc>
        <w:tc>
          <w:tcPr>
            <w:tcW w:w="1275" w:type="dxa"/>
            <w:noWrap/>
            <w:hideMark/>
          </w:tcPr>
          <w:p w14:paraId="55201B01"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73%</w:t>
            </w:r>
          </w:p>
        </w:tc>
      </w:tr>
      <w:tr w:rsidR="00FA1B5B" w:rsidRPr="00FA1B5B" w14:paraId="2669B209" w14:textId="77777777" w:rsidTr="00A22305">
        <w:trPr>
          <w:trHeight w:val="300"/>
        </w:trPr>
        <w:tc>
          <w:tcPr>
            <w:cnfStyle w:val="001000000000" w:firstRow="0" w:lastRow="0" w:firstColumn="1" w:lastColumn="0" w:oddVBand="0" w:evenVBand="0" w:oddHBand="0" w:evenHBand="0" w:firstRowFirstColumn="0" w:firstRowLastColumn="0" w:lastRowFirstColumn="0" w:lastRowLastColumn="0"/>
            <w:tcW w:w="1496" w:type="dxa"/>
            <w:noWrap/>
            <w:hideMark/>
          </w:tcPr>
          <w:p w14:paraId="0CB546C6" w14:textId="3E620554" w:rsidR="00FA1B5B" w:rsidRPr="00FA1B5B" w:rsidRDefault="00FA1B5B" w:rsidP="00FA1B5B">
            <w:pPr>
              <w:spacing w:before="60" w:after="60"/>
              <w:rPr>
                <w:rFonts w:eastAsia="Times New Roman"/>
                <w:sz w:val="18"/>
                <w:szCs w:val="24"/>
                <w:lang w:eastAsia="en-AU"/>
              </w:rPr>
            </w:pPr>
            <w:r w:rsidRPr="00FA1B5B">
              <w:rPr>
                <w:rFonts w:eastAsia="Times New Roman"/>
                <w:sz w:val="18"/>
                <w:szCs w:val="24"/>
                <w:lang w:eastAsia="en-AU"/>
              </w:rPr>
              <w:t xml:space="preserve">Diversion </w:t>
            </w:r>
            <w:r w:rsidR="00A22305">
              <w:rPr>
                <w:rFonts w:eastAsia="Times New Roman"/>
                <w:sz w:val="18"/>
                <w:szCs w:val="24"/>
                <w:lang w:eastAsia="en-AU"/>
              </w:rPr>
              <w:t>t</w:t>
            </w:r>
            <w:r w:rsidRPr="00FA1B5B">
              <w:rPr>
                <w:rFonts w:eastAsia="Times New Roman"/>
                <w:sz w:val="18"/>
                <w:szCs w:val="24"/>
                <w:lang w:eastAsia="en-AU"/>
              </w:rPr>
              <w:t>arget (WRRS</w:t>
            </w:r>
            <w:r>
              <w:rPr>
                <w:rFonts w:eastAsia="Times New Roman"/>
                <w:sz w:val="18"/>
                <w:szCs w:val="24"/>
                <w:lang w:eastAsia="en-AU"/>
              </w:rPr>
              <w:t>)</w:t>
            </w:r>
          </w:p>
        </w:tc>
        <w:tc>
          <w:tcPr>
            <w:tcW w:w="1231" w:type="dxa"/>
            <w:noWrap/>
            <w:hideMark/>
          </w:tcPr>
          <w:p w14:paraId="2168C145"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50.90%</w:t>
            </w:r>
          </w:p>
        </w:tc>
        <w:tc>
          <w:tcPr>
            <w:tcW w:w="1276" w:type="dxa"/>
            <w:noWrap/>
            <w:hideMark/>
          </w:tcPr>
          <w:p w14:paraId="4ACB3567"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54.30%</w:t>
            </w:r>
          </w:p>
        </w:tc>
        <w:tc>
          <w:tcPr>
            <w:tcW w:w="1276" w:type="dxa"/>
            <w:noWrap/>
            <w:hideMark/>
          </w:tcPr>
          <w:p w14:paraId="70CC993D"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57.80%</w:t>
            </w:r>
          </w:p>
        </w:tc>
        <w:tc>
          <w:tcPr>
            <w:tcW w:w="1134" w:type="dxa"/>
            <w:noWrap/>
            <w:hideMark/>
          </w:tcPr>
          <w:p w14:paraId="741FBDC8"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61.20%</w:t>
            </w:r>
          </w:p>
        </w:tc>
        <w:tc>
          <w:tcPr>
            <w:tcW w:w="1276" w:type="dxa"/>
            <w:noWrap/>
            <w:hideMark/>
          </w:tcPr>
          <w:p w14:paraId="00C08EFB"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64.70%</w:t>
            </w:r>
          </w:p>
        </w:tc>
        <w:tc>
          <w:tcPr>
            <w:tcW w:w="1275" w:type="dxa"/>
            <w:noWrap/>
            <w:hideMark/>
          </w:tcPr>
          <w:p w14:paraId="7639E741" w14:textId="77777777" w:rsidR="00FA1B5B" w:rsidRPr="00FA1B5B"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sz w:val="18"/>
                <w:szCs w:val="24"/>
                <w:lang w:eastAsia="en-AU"/>
              </w:rPr>
            </w:pPr>
            <w:r w:rsidRPr="00FA1B5B">
              <w:rPr>
                <w:rFonts w:eastAsia="Times New Roman"/>
                <w:sz w:val="18"/>
                <w:szCs w:val="24"/>
                <w:lang w:eastAsia="en-AU"/>
              </w:rPr>
              <w:t>68.10%</w:t>
            </w:r>
          </w:p>
        </w:tc>
      </w:tr>
    </w:tbl>
    <w:p w14:paraId="3FDFC73B" w14:textId="77777777" w:rsidR="00FA1B5B" w:rsidRPr="00FA1B5B" w:rsidRDefault="00FA1B5B" w:rsidP="00FA1B5B">
      <w:pPr>
        <w:spacing w:after="0" w:line="320" w:lineRule="atLeast"/>
        <w:rPr>
          <w:rFonts w:eastAsia="Calibri" w:cs="Times New Roman"/>
          <w:sz w:val="24"/>
        </w:rPr>
      </w:pPr>
    </w:p>
    <w:p w14:paraId="7E6A0BC8" w14:textId="03FDD2DA" w:rsidR="00FA1B5B" w:rsidRPr="00FA1B5B" w:rsidRDefault="00FA1B5B" w:rsidP="00FA1B5B">
      <w:pPr>
        <w:spacing w:after="0" w:line="320" w:lineRule="atLeast"/>
        <w:rPr>
          <w:rFonts w:eastAsia="Calibri" w:cs="Times New Roman"/>
          <w:sz w:val="24"/>
        </w:rPr>
      </w:pPr>
      <w:r w:rsidRPr="00FA1B5B">
        <w:rPr>
          <w:rFonts w:eastAsia="Calibri" w:cs="Times New Roman"/>
          <w:sz w:val="24"/>
        </w:rPr>
        <w:t xml:space="preserve">A diversion rate of more than </w:t>
      </w:r>
      <w:r w:rsidRPr="0039389D">
        <w:rPr>
          <w:rFonts w:eastAsia="Calibri" w:cs="Times New Roman"/>
          <w:sz w:val="24"/>
        </w:rPr>
        <w:t>80 per cent has been</w:t>
      </w:r>
      <w:r w:rsidRPr="00FA1B5B">
        <w:rPr>
          <w:rFonts w:eastAsia="Calibri" w:cs="Times New Roman"/>
          <w:sz w:val="24"/>
        </w:rPr>
        <w:t xml:space="preserve"> achieved for the following waste streams:</w:t>
      </w:r>
    </w:p>
    <w:p w14:paraId="4552F1F0"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excess earthworks/embankment/fill</w:t>
      </w:r>
    </w:p>
    <w:p w14:paraId="1A186ED0"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vegetation</w:t>
      </w:r>
    </w:p>
    <w:p w14:paraId="365FE73F"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acid sulphate soil</w:t>
      </w:r>
    </w:p>
    <w:p w14:paraId="183732E2"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other contaminated earthworks</w:t>
      </w:r>
    </w:p>
    <w:p w14:paraId="18A7B729"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asphalt and profiles (RAP)</w:t>
      </w:r>
    </w:p>
    <w:p w14:paraId="752A5611"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concrete</w:t>
      </w:r>
    </w:p>
    <w:p w14:paraId="7434B086"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metal</w:t>
      </w:r>
    </w:p>
    <w:p w14:paraId="246509AE"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tyres and rubber</w:t>
      </w:r>
    </w:p>
    <w:p w14:paraId="53311B92"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office – recyclables</w:t>
      </w:r>
    </w:p>
    <w:p w14:paraId="1DFB9532"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office – paper.</w:t>
      </w:r>
    </w:p>
    <w:p w14:paraId="57975AE1" w14:textId="77777777" w:rsidR="00FA1B5B" w:rsidRPr="00FA1B5B" w:rsidRDefault="00FA1B5B" w:rsidP="00FA1B5B">
      <w:pPr>
        <w:spacing w:after="0" w:line="320" w:lineRule="atLeast"/>
        <w:rPr>
          <w:rFonts w:eastAsia="Calibri" w:cs="Times New Roman"/>
          <w:sz w:val="24"/>
        </w:rPr>
      </w:pPr>
    </w:p>
    <w:p w14:paraId="64866106" w14:textId="204B270C" w:rsidR="00FA1B5B" w:rsidRPr="0039389D" w:rsidRDefault="00FA1B5B" w:rsidP="00FA1B5B">
      <w:pPr>
        <w:spacing w:after="0" w:line="320" w:lineRule="atLeast"/>
        <w:rPr>
          <w:rFonts w:eastAsia="Arial" w:cs="Times New Roman"/>
          <w:sz w:val="24"/>
        </w:rPr>
      </w:pPr>
      <w:r w:rsidRPr="0039389D">
        <w:rPr>
          <w:rFonts w:eastAsia="Arial" w:cs="Times New Roman"/>
          <w:sz w:val="24"/>
        </w:rPr>
        <w:t xml:space="preserve">The total waste generated by TMR in 2022–2023 is 1,864,129 tonnes, of which 73 per cent was diverted (reused or recycled) and remaining 27 per cent was disposed to landfill. </w:t>
      </w:r>
    </w:p>
    <w:p w14:paraId="1245039E" w14:textId="77777777" w:rsidR="00FA1B5B" w:rsidRPr="0039389D" w:rsidRDefault="00FA1B5B" w:rsidP="00FA1B5B">
      <w:pPr>
        <w:spacing w:after="0" w:line="320" w:lineRule="atLeast"/>
        <w:rPr>
          <w:rFonts w:eastAsia="Arial" w:cs="Times New Roman"/>
          <w:sz w:val="24"/>
        </w:rPr>
      </w:pPr>
    </w:p>
    <w:p w14:paraId="7CA86F1B" w14:textId="3F5F2C79" w:rsidR="007F3C71" w:rsidRDefault="00FA1B5B" w:rsidP="00FA1B5B">
      <w:pPr>
        <w:spacing w:after="0" w:line="320" w:lineRule="atLeast"/>
        <w:rPr>
          <w:rFonts w:eastAsia="Arial" w:cs="Times New Roman"/>
          <w:sz w:val="24"/>
        </w:rPr>
      </w:pPr>
      <w:r w:rsidRPr="0039389D">
        <w:rPr>
          <w:rFonts w:eastAsia="Arial" w:cs="Times New Roman"/>
          <w:sz w:val="24"/>
        </w:rPr>
        <w:t xml:space="preserve">There was a substantial increase of 1,172,035 tonnes of waste generated in 2022–2023 from that generated in 2021–2022. This is due to the increase in contract </w:t>
      </w:r>
      <w:r w:rsidRPr="0039389D" w:rsidDel="00A517DE">
        <w:rPr>
          <w:rFonts w:eastAsia="Arial" w:cs="Times New Roman"/>
          <w:sz w:val="24"/>
        </w:rPr>
        <w:t xml:space="preserve">waste </w:t>
      </w:r>
      <w:r w:rsidRPr="0039389D">
        <w:rPr>
          <w:rFonts w:eastAsia="Arial" w:cs="Times New Roman"/>
          <w:sz w:val="24"/>
        </w:rPr>
        <w:t>reported in this period. There were 44 contracts reported in 2022–2023 compared to 15 contracts reported in 2021–2022. Contract waste data is collected at the end of the contract and included in reporting in the year the waste data is supplied to TMR. There were several contracts included in the current report that had a duration of more than two (2) years. Therefore, the increase in waste generated is due to both an increase in contracts that have supplied data and increase in contract durations.</w:t>
      </w:r>
    </w:p>
    <w:p w14:paraId="413A0668" w14:textId="77777777" w:rsidR="007F3C71" w:rsidRDefault="007F3C71">
      <w:pPr>
        <w:spacing w:after="160" w:line="259" w:lineRule="auto"/>
        <w:rPr>
          <w:rFonts w:eastAsia="Arial" w:cs="Times New Roman"/>
          <w:sz w:val="24"/>
        </w:rPr>
      </w:pPr>
      <w:r>
        <w:rPr>
          <w:rFonts w:eastAsia="Arial" w:cs="Times New Roman"/>
          <w:sz w:val="24"/>
        </w:rPr>
        <w:br w:type="page"/>
      </w:r>
    </w:p>
    <w:p w14:paraId="008CA69F" w14:textId="5D9C29CE"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lastRenderedPageBreak/>
        <w:t>Please list the amounts and types of litter or illegally dumped waste that were collected by your department/agency during 2022–23.</w:t>
      </w:r>
    </w:p>
    <w:p w14:paraId="4AFCA4DE" w14:textId="77777777" w:rsidR="0039389D" w:rsidRPr="00FA1B5B" w:rsidRDefault="0039389D" w:rsidP="0039389D">
      <w:pPr>
        <w:autoSpaceDE w:val="0"/>
        <w:autoSpaceDN w:val="0"/>
        <w:adjustRightInd w:val="0"/>
        <w:spacing w:after="160" w:line="259" w:lineRule="auto"/>
        <w:ind w:left="360"/>
        <w:contextualSpacing/>
        <w:rPr>
          <w:rFonts w:eastAsia="Calibri"/>
          <w:b/>
          <w:bCs/>
          <w:color w:val="333333"/>
          <w:sz w:val="22"/>
        </w:rPr>
      </w:pPr>
    </w:p>
    <w:p w14:paraId="2EE0CB20" w14:textId="4F528F28" w:rsidR="00FA1B5B" w:rsidRDefault="00FA1B5B" w:rsidP="00FA1B5B">
      <w:pPr>
        <w:spacing w:after="0" w:line="320" w:lineRule="atLeast"/>
        <w:rPr>
          <w:rFonts w:eastAsia="Arial" w:cs="Times New Roman"/>
          <w:sz w:val="24"/>
        </w:rPr>
      </w:pPr>
      <w:bookmarkStart w:id="44" w:name="_Ref83651543"/>
      <w:bookmarkStart w:id="45" w:name="_Toc116463516"/>
      <w:r w:rsidRPr="00FA1B5B">
        <w:rPr>
          <w:rFonts w:eastAsia="Arial" w:cs="Times New Roman"/>
          <w:sz w:val="24"/>
        </w:rPr>
        <w:t xml:space="preserve">TMR regularly removes litter and illegally dumped items from the state-controlled road network. Included in this report are the following: </w:t>
      </w:r>
    </w:p>
    <w:p w14:paraId="2D4AD14B" w14:textId="77777777" w:rsidR="007F3C71" w:rsidRPr="00FA1B5B" w:rsidRDefault="007F3C71" w:rsidP="00FA1B5B">
      <w:pPr>
        <w:spacing w:after="0" w:line="320" w:lineRule="atLeast"/>
        <w:rPr>
          <w:rFonts w:eastAsia="Arial" w:cs="Times New Roman"/>
          <w:sz w:val="24"/>
        </w:rPr>
      </w:pPr>
    </w:p>
    <w:p w14:paraId="00DD484C" w14:textId="77777777"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 xml:space="preserve">The cost and amounts of rubbish collected from bins along the road, litter dumped along the road, and other waste that may be dumped adjacent to the road or on other land managed by TMR. </w:t>
      </w:r>
    </w:p>
    <w:p w14:paraId="442B3708" w14:textId="362F33E8" w:rsidR="00FA1B5B" w:rsidRPr="00FA1B5B" w:rsidRDefault="00FA1B5B" w:rsidP="00FA1B5B">
      <w:pPr>
        <w:numPr>
          <w:ilvl w:val="0"/>
          <w:numId w:val="16"/>
        </w:numPr>
        <w:spacing w:after="0" w:line="320" w:lineRule="atLeast"/>
        <w:rPr>
          <w:rFonts w:eastAsia="Calibri" w:cs="Times New Roman"/>
          <w:sz w:val="24"/>
        </w:rPr>
      </w:pPr>
      <w:r w:rsidRPr="00FA1B5B">
        <w:rPr>
          <w:rFonts w:eastAsia="Calibri" w:cs="Times New Roman"/>
          <w:sz w:val="24"/>
        </w:rPr>
        <w:t>Estimated weight of vessels removed from Queensland waterways by Maritime Safety Queensland or its compliance partners as part of the War on Wrecks (WoW) Program. Estimates are based on the length of the vessel. The costs have not been included as this information is not collected.</w:t>
      </w:r>
    </w:p>
    <w:p w14:paraId="48EAFE91" w14:textId="4BE726B2" w:rsidR="00FA1B5B" w:rsidRPr="0039389D" w:rsidRDefault="00FA1B5B" w:rsidP="00FA1B5B">
      <w:pPr>
        <w:keepNext/>
        <w:tabs>
          <w:tab w:val="left" w:pos="1134"/>
        </w:tabs>
        <w:spacing w:before="240" w:after="120" w:line="260" w:lineRule="atLeast"/>
        <w:ind w:left="1134" w:hanging="1134"/>
        <w:rPr>
          <w:rFonts w:eastAsia="Times New Roman" w:cs="Times New Roman"/>
          <w:b/>
          <w:i/>
          <w:iCs/>
          <w:color w:val="002060"/>
          <w:sz w:val="24"/>
          <w:szCs w:val="24"/>
          <w:lang w:eastAsia="en-AU"/>
        </w:rPr>
      </w:pPr>
      <w:r w:rsidRPr="0039389D">
        <w:rPr>
          <w:rFonts w:eastAsia="Times New Roman" w:cs="Times New Roman"/>
          <w:b/>
          <w:i/>
          <w:iCs/>
          <w:color w:val="002060"/>
          <w:sz w:val="24"/>
          <w:szCs w:val="24"/>
          <w:lang w:eastAsia="en-AU"/>
        </w:rPr>
        <w:t xml:space="preserve">Table </w:t>
      </w:r>
      <w:bookmarkEnd w:id="44"/>
      <w:r w:rsidR="0039389D" w:rsidRPr="0039389D">
        <w:rPr>
          <w:rFonts w:eastAsia="Times New Roman" w:cs="Times New Roman"/>
          <w:b/>
          <w:i/>
          <w:iCs/>
          <w:color w:val="002060"/>
          <w:sz w:val="24"/>
          <w:szCs w:val="24"/>
          <w:lang w:eastAsia="en-AU"/>
        </w:rPr>
        <w:t>7</w:t>
      </w:r>
      <w:r w:rsidRPr="0039389D">
        <w:rPr>
          <w:rFonts w:eastAsia="Times New Roman" w:cs="Times New Roman"/>
          <w:b/>
          <w:i/>
          <w:iCs/>
          <w:noProof/>
          <w:color w:val="002060"/>
          <w:sz w:val="24"/>
          <w:szCs w:val="24"/>
          <w:lang w:eastAsia="en-AU"/>
        </w:rPr>
        <w:t>:</w:t>
      </w:r>
      <w:r w:rsidRPr="0039389D">
        <w:rPr>
          <w:rFonts w:eastAsia="Times New Roman" w:cs="Times New Roman"/>
          <w:b/>
          <w:i/>
          <w:iCs/>
          <w:color w:val="002060"/>
          <w:sz w:val="24"/>
          <w:szCs w:val="24"/>
          <w:lang w:eastAsia="en-AU"/>
        </w:rPr>
        <w:t xml:space="preserve"> Annual trend </w:t>
      </w:r>
      <w:r w:rsidR="00A22305" w:rsidRPr="0039389D">
        <w:rPr>
          <w:rFonts w:eastAsia="Times New Roman" w:cs="Times New Roman"/>
          <w:b/>
          <w:i/>
          <w:iCs/>
          <w:color w:val="002060"/>
          <w:sz w:val="24"/>
          <w:szCs w:val="24"/>
          <w:lang w:eastAsia="en-AU"/>
        </w:rPr>
        <w:t xml:space="preserve">– </w:t>
      </w:r>
      <w:r w:rsidRPr="0039389D">
        <w:rPr>
          <w:rFonts w:eastAsia="Times New Roman" w:cs="Times New Roman"/>
          <w:b/>
          <w:i/>
          <w:iCs/>
          <w:color w:val="002060"/>
          <w:sz w:val="24"/>
          <w:szCs w:val="24"/>
          <w:lang w:eastAsia="en-AU"/>
        </w:rPr>
        <w:t>litter and illegally dumped waste</w:t>
      </w:r>
      <w:bookmarkEnd w:id="45"/>
      <w:r w:rsidR="0039389D" w:rsidRPr="0039389D">
        <w:rPr>
          <w:rFonts w:eastAsia="Times New Roman" w:cs="Times New Roman"/>
          <w:b/>
          <w:i/>
          <w:iCs/>
          <w:color w:val="002060"/>
          <w:sz w:val="24"/>
          <w:szCs w:val="24"/>
          <w:lang w:eastAsia="en-AU"/>
        </w:rPr>
        <w:t>.</w:t>
      </w:r>
    </w:p>
    <w:tbl>
      <w:tblPr>
        <w:tblStyle w:val="NavyTable"/>
        <w:tblW w:w="0" w:type="auto"/>
        <w:tblInd w:w="0" w:type="dxa"/>
        <w:tblLook w:val="06A0" w:firstRow="1" w:lastRow="0" w:firstColumn="1" w:lastColumn="0" w:noHBand="1" w:noVBand="1"/>
      </w:tblPr>
      <w:tblGrid>
        <w:gridCol w:w="1357"/>
        <w:gridCol w:w="1117"/>
        <w:gridCol w:w="1117"/>
        <w:gridCol w:w="1117"/>
        <w:gridCol w:w="1117"/>
        <w:gridCol w:w="1117"/>
        <w:gridCol w:w="1117"/>
      </w:tblGrid>
      <w:tr w:rsidR="00FA1B5B" w:rsidRPr="00231209" w14:paraId="45B385F0" w14:textId="77777777" w:rsidTr="00945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noWrap/>
            <w:hideMark/>
          </w:tcPr>
          <w:p w14:paraId="7A34E766" w14:textId="77777777" w:rsidR="00FA1B5B" w:rsidRPr="0039389D" w:rsidRDefault="00FA1B5B" w:rsidP="00FA1B5B">
            <w:pPr>
              <w:spacing w:before="60" w:after="60"/>
              <w:rPr>
                <w:rFonts w:eastAsia="Times New Roman" w:cs="Times New Roman"/>
                <w:sz w:val="18"/>
                <w:szCs w:val="18"/>
                <w:lang w:eastAsia="en-AU"/>
              </w:rPr>
            </w:pPr>
          </w:p>
        </w:tc>
        <w:tc>
          <w:tcPr>
            <w:tcW w:w="1117" w:type="dxa"/>
            <w:noWrap/>
            <w:hideMark/>
          </w:tcPr>
          <w:p w14:paraId="5A9E3561"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2017-2018</w:t>
            </w:r>
          </w:p>
        </w:tc>
        <w:tc>
          <w:tcPr>
            <w:tcW w:w="1117" w:type="dxa"/>
            <w:noWrap/>
            <w:hideMark/>
          </w:tcPr>
          <w:p w14:paraId="0272B7DD"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2018-2019</w:t>
            </w:r>
          </w:p>
        </w:tc>
        <w:tc>
          <w:tcPr>
            <w:tcW w:w="1117" w:type="dxa"/>
            <w:noWrap/>
            <w:hideMark/>
          </w:tcPr>
          <w:p w14:paraId="060442CD"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2019-2020</w:t>
            </w:r>
          </w:p>
        </w:tc>
        <w:tc>
          <w:tcPr>
            <w:tcW w:w="1117" w:type="dxa"/>
            <w:noWrap/>
            <w:hideMark/>
          </w:tcPr>
          <w:p w14:paraId="6C8357B6"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2020-2021</w:t>
            </w:r>
          </w:p>
        </w:tc>
        <w:tc>
          <w:tcPr>
            <w:tcW w:w="1117" w:type="dxa"/>
          </w:tcPr>
          <w:p w14:paraId="05C8DC85"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2021-2022</w:t>
            </w:r>
          </w:p>
        </w:tc>
        <w:tc>
          <w:tcPr>
            <w:tcW w:w="1117" w:type="dxa"/>
          </w:tcPr>
          <w:p w14:paraId="05C084CE" w14:textId="77777777" w:rsidR="00FA1B5B" w:rsidRPr="0039389D" w:rsidRDefault="00FA1B5B" w:rsidP="00FA1B5B">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AU"/>
              </w:rPr>
            </w:pPr>
            <w:r w:rsidRPr="0039389D">
              <w:rPr>
                <w:rFonts w:eastAsia="Times New Roman" w:cs="Times New Roman"/>
                <w:sz w:val="18"/>
                <w:szCs w:val="18"/>
                <w:lang w:eastAsia="en-AU"/>
              </w:rPr>
              <w:t>2022-2023</w:t>
            </w:r>
          </w:p>
        </w:tc>
      </w:tr>
      <w:tr w:rsidR="00FA1B5B" w:rsidRPr="00231209" w14:paraId="25453FD3" w14:textId="77777777" w:rsidTr="00945366">
        <w:tc>
          <w:tcPr>
            <w:cnfStyle w:val="001000000000" w:firstRow="0" w:lastRow="0" w:firstColumn="1" w:lastColumn="0" w:oddVBand="0" w:evenVBand="0" w:oddHBand="0" w:evenHBand="0" w:firstRowFirstColumn="0" w:firstRowLastColumn="0" w:lastRowFirstColumn="0" w:lastRowLastColumn="0"/>
            <w:tcW w:w="1357" w:type="dxa"/>
            <w:noWrap/>
            <w:hideMark/>
          </w:tcPr>
          <w:p w14:paraId="13261D62" w14:textId="77777777" w:rsidR="00FA1B5B" w:rsidRPr="0039389D" w:rsidRDefault="00FA1B5B" w:rsidP="00FA1B5B">
            <w:pPr>
              <w:spacing w:before="60" w:after="60"/>
              <w:rPr>
                <w:rFonts w:eastAsia="Times New Roman" w:cs="Times New Roman"/>
                <w:b/>
                <w:bCs/>
                <w:sz w:val="18"/>
                <w:szCs w:val="18"/>
                <w:lang w:eastAsia="en-AU"/>
              </w:rPr>
            </w:pPr>
            <w:r w:rsidRPr="0039389D">
              <w:rPr>
                <w:rFonts w:eastAsia="Times New Roman" w:cs="Times New Roman"/>
                <w:sz w:val="18"/>
                <w:szCs w:val="18"/>
                <w:lang w:eastAsia="en-AU"/>
              </w:rPr>
              <w:t>Cost ($)</w:t>
            </w:r>
          </w:p>
        </w:tc>
        <w:tc>
          <w:tcPr>
            <w:tcW w:w="1117" w:type="dxa"/>
            <w:noWrap/>
            <w:hideMark/>
          </w:tcPr>
          <w:p w14:paraId="3842003C"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$5,670,602</w:t>
            </w:r>
          </w:p>
        </w:tc>
        <w:tc>
          <w:tcPr>
            <w:tcW w:w="1117" w:type="dxa"/>
            <w:noWrap/>
            <w:hideMark/>
          </w:tcPr>
          <w:p w14:paraId="570FCA26"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$5,770,248</w:t>
            </w:r>
          </w:p>
        </w:tc>
        <w:tc>
          <w:tcPr>
            <w:tcW w:w="1117" w:type="dxa"/>
            <w:noWrap/>
            <w:hideMark/>
          </w:tcPr>
          <w:p w14:paraId="13CAF12B"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$4,636,566</w:t>
            </w:r>
          </w:p>
        </w:tc>
        <w:tc>
          <w:tcPr>
            <w:tcW w:w="1117" w:type="dxa"/>
            <w:noWrap/>
            <w:hideMark/>
          </w:tcPr>
          <w:p w14:paraId="6B92BE88"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$4,116,861</w:t>
            </w:r>
          </w:p>
        </w:tc>
        <w:tc>
          <w:tcPr>
            <w:tcW w:w="1117" w:type="dxa"/>
          </w:tcPr>
          <w:p w14:paraId="77A46548"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$4,479,020</w:t>
            </w:r>
          </w:p>
        </w:tc>
        <w:tc>
          <w:tcPr>
            <w:tcW w:w="1117" w:type="dxa"/>
          </w:tcPr>
          <w:p w14:paraId="78CE815A"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$4,456,698</w:t>
            </w:r>
          </w:p>
        </w:tc>
      </w:tr>
      <w:tr w:rsidR="00FA1B5B" w:rsidRPr="00231209" w14:paraId="41AD0689" w14:textId="77777777" w:rsidTr="00945366">
        <w:tc>
          <w:tcPr>
            <w:cnfStyle w:val="001000000000" w:firstRow="0" w:lastRow="0" w:firstColumn="1" w:lastColumn="0" w:oddVBand="0" w:evenVBand="0" w:oddHBand="0" w:evenHBand="0" w:firstRowFirstColumn="0" w:firstRowLastColumn="0" w:lastRowFirstColumn="0" w:lastRowLastColumn="0"/>
            <w:tcW w:w="1357" w:type="dxa"/>
            <w:noWrap/>
            <w:hideMark/>
          </w:tcPr>
          <w:p w14:paraId="6CAE4B4E" w14:textId="77777777" w:rsidR="00FA1B5B" w:rsidRPr="0039389D" w:rsidRDefault="00FA1B5B" w:rsidP="00FA1B5B">
            <w:pPr>
              <w:spacing w:before="60" w:after="60"/>
              <w:rPr>
                <w:rFonts w:eastAsia="Times New Roman" w:cs="Times New Roman"/>
                <w:b/>
                <w:bCs/>
                <w:sz w:val="18"/>
                <w:szCs w:val="18"/>
                <w:lang w:eastAsia="en-AU"/>
              </w:rPr>
            </w:pPr>
            <w:r w:rsidRPr="0039389D">
              <w:rPr>
                <w:rFonts w:eastAsia="Times New Roman" w:cs="Times New Roman"/>
                <w:sz w:val="18"/>
                <w:szCs w:val="18"/>
                <w:lang w:eastAsia="en-AU"/>
              </w:rPr>
              <w:t>Mass (tonnes)</w:t>
            </w:r>
          </w:p>
        </w:tc>
        <w:tc>
          <w:tcPr>
            <w:tcW w:w="1117" w:type="dxa"/>
            <w:noWrap/>
            <w:hideMark/>
          </w:tcPr>
          <w:p w14:paraId="758BDE60"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1,743</w:t>
            </w:r>
          </w:p>
        </w:tc>
        <w:tc>
          <w:tcPr>
            <w:tcW w:w="1117" w:type="dxa"/>
            <w:noWrap/>
            <w:hideMark/>
          </w:tcPr>
          <w:p w14:paraId="11DF1093"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1,697</w:t>
            </w:r>
          </w:p>
        </w:tc>
        <w:tc>
          <w:tcPr>
            <w:tcW w:w="1117" w:type="dxa"/>
            <w:noWrap/>
            <w:hideMark/>
          </w:tcPr>
          <w:p w14:paraId="358B8915"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1,538</w:t>
            </w:r>
          </w:p>
        </w:tc>
        <w:tc>
          <w:tcPr>
            <w:tcW w:w="1117" w:type="dxa"/>
            <w:noWrap/>
            <w:hideMark/>
          </w:tcPr>
          <w:p w14:paraId="4516AE84"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2,387</w:t>
            </w:r>
          </w:p>
        </w:tc>
        <w:tc>
          <w:tcPr>
            <w:tcW w:w="1117" w:type="dxa"/>
          </w:tcPr>
          <w:p w14:paraId="1231C729"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2,702</w:t>
            </w:r>
          </w:p>
        </w:tc>
        <w:tc>
          <w:tcPr>
            <w:tcW w:w="1117" w:type="dxa"/>
          </w:tcPr>
          <w:p w14:paraId="1AB23522" w14:textId="77777777" w:rsidR="00FA1B5B" w:rsidRPr="0039389D" w:rsidRDefault="00FA1B5B" w:rsidP="00FA1B5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AU"/>
              </w:rPr>
            </w:pPr>
            <w:r w:rsidRPr="0039389D">
              <w:rPr>
                <w:rFonts w:eastAsia="Times New Roman" w:cs="Times New Roman"/>
                <w:bCs/>
                <w:sz w:val="18"/>
                <w:szCs w:val="18"/>
                <w:lang w:eastAsia="en-AU"/>
              </w:rPr>
              <w:t>2,235</w:t>
            </w:r>
          </w:p>
        </w:tc>
      </w:tr>
    </w:tbl>
    <w:p w14:paraId="7D25ABFD" w14:textId="77777777" w:rsidR="00950E8E" w:rsidRDefault="00950E8E" w:rsidP="00FA1B5B">
      <w:pPr>
        <w:spacing w:after="0" w:line="320" w:lineRule="atLeast"/>
        <w:rPr>
          <w:rFonts w:eastAsia="Arial" w:cs="Times New Roman"/>
          <w:sz w:val="24"/>
        </w:rPr>
        <w:sectPr w:rsidR="00950E8E" w:rsidSect="00231209">
          <w:footerReference w:type="default" r:id="rId48"/>
          <w:pgSz w:w="11906" w:h="16838"/>
          <w:pgMar w:top="1134" w:right="1077" w:bottom="1134" w:left="1077" w:header="510" w:footer="454" w:gutter="0"/>
          <w:pgNumType w:start="1"/>
          <w:cols w:space="708"/>
          <w:docGrid w:linePitch="360"/>
        </w:sectPr>
      </w:pPr>
    </w:p>
    <w:p w14:paraId="303D6483" w14:textId="77777777" w:rsidR="00FA1B5B" w:rsidRPr="00FA1B5B" w:rsidRDefault="00FA1B5B" w:rsidP="00FA1B5B">
      <w:pPr>
        <w:spacing w:after="0" w:line="320" w:lineRule="atLeast"/>
        <w:rPr>
          <w:rFonts w:eastAsia="Arial" w:cs="Times New Roman"/>
          <w:sz w:val="24"/>
        </w:rPr>
      </w:pPr>
    </w:p>
    <w:sectPr w:rsidR="00FA1B5B" w:rsidRPr="00FA1B5B" w:rsidSect="00231209">
      <w:headerReference w:type="default" r:id="rId49"/>
      <w:footerReference w:type="default" r:id="rId50"/>
      <w:pgSz w:w="11906" w:h="16838"/>
      <w:pgMar w:top="1134" w:right="1077" w:bottom="1134" w:left="1077" w:header="51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667A0" w14:textId="77777777" w:rsidR="001243FF" w:rsidRDefault="001243FF" w:rsidP="008D39B0">
      <w:pPr>
        <w:spacing w:after="0"/>
      </w:pPr>
      <w:r>
        <w:separator/>
      </w:r>
    </w:p>
  </w:endnote>
  <w:endnote w:type="continuationSeparator" w:id="0">
    <w:p w14:paraId="1762F081" w14:textId="77777777" w:rsidR="001243FF" w:rsidRDefault="001243FF" w:rsidP="008D39B0">
      <w:pPr>
        <w:spacing w:after="0"/>
      </w:pPr>
      <w:r>
        <w:continuationSeparator/>
      </w:r>
    </w:p>
  </w:endnote>
  <w:endnote w:type="continuationNotice" w:id="1">
    <w:p w14:paraId="2EA2F517" w14:textId="77777777" w:rsidR="001243FF" w:rsidRDefault="001243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3B8F" w14:textId="1561C2E6" w:rsidR="00361356" w:rsidRPr="00361356" w:rsidRDefault="00361356" w:rsidP="00FA1B5B">
    <w:pPr>
      <w:pStyle w:val="Footer"/>
      <w:ind w:left="-567"/>
      <w:rPr>
        <w:sz w:val="18"/>
        <w:szCs w:val="28"/>
      </w:rPr>
    </w:pPr>
    <w:r w:rsidRPr="00361356">
      <w:rPr>
        <w:sz w:val="18"/>
        <w:szCs w:val="28"/>
      </w:rPr>
      <w:t>Waste 2 Resource Annual Status Report 2022–2023</w:t>
    </w:r>
    <w:r w:rsidRPr="00361356">
      <w:rPr>
        <w:sz w:val="18"/>
        <w:szCs w:val="28"/>
      </w:rPr>
      <w:tab/>
    </w:r>
    <w:r w:rsidRPr="00361356">
      <w:rPr>
        <w:sz w:val="18"/>
        <w:szCs w:val="28"/>
      </w:rPr>
      <w:tab/>
    </w:r>
    <w:r w:rsidRPr="00361356">
      <w:rPr>
        <w:sz w:val="18"/>
        <w:szCs w:val="28"/>
      </w:rPr>
      <w:fldChar w:fldCharType="begin"/>
    </w:r>
    <w:r w:rsidRPr="00361356">
      <w:rPr>
        <w:sz w:val="18"/>
        <w:szCs w:val="28"/>
      </w:rPr>
      <w:instrText xml:space="preserve"> PAGE  \* roman  \* MERGEFORMAT </w:instrText>
    </w:r>
    <w:r w:rsidRPr="00361356">
      <w:rPr>
        <w:sz w:val="18"/>
        <w:szCs w:val="28"/>
      </w:rPr>
      <w:fldChar w:fldCharType="separate"/>
    </w:r>
    <w:r w:rsidRPr="00361356">
      <w:rPr>
        <w:noProof/>
        <w:sz w:val="18"/>
        <w:szCs w:val="28"/>
      </w:rPr>
      <w:t>i</w:t>
    </w:r>
    <w:r w:rsidRPr="00361356">
      <w:rPr>
        <w:sz w:val="1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C862" w14:textId="77777777" w:rsidR="00361356" w:rsidRPr="00A653A9" w:rsidRDefault="00361356" w:rsidP="00973ED8">
    <w:pPr>
      <w:pStyle w:val="Footer"/>
      <w:rPr>
        <w:sz w:val="24"/>
        <w:szCs w:val="40"/>
      </w:rPr>
    </w:pPr>
    <w:r w:rsidRPr="00A653A9">
      <w:rPr>
        <w:sz w:val="24"/>
        <w:szCs w:val="40"/>
      </w:rPr>
      <w:t>Waste 2 Resource Annual Status Report 2022–2023</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E049" w14:textId="5C8D80D7" w:rsidR="008409D7" w:rsidRPr="00361356" w:rsidRDefault="008409D7" w:rsidP="00973ED8">
    <w:pPr>
      <w:pStyle w:val="Footer"/>
      <w:rPr>
        <w:sz w:val="1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88886" w14:textId="77777777" w:rsidR="001243FF" w:rsidRDefault="001243FF" w:rsidP="008D39B0">
      <w:pPr>
        <w:spacing w:after="0"/>
      </w:pPr>
      <w:r>
        <w:separator/>
      </w:r>
    </w:p>
  </w:footnote>
  <w:footnote w:type="continuationSeparator" w:id="0">
    <w:p w14:paraId="48DA16EE" w14:textId="77777777" w:rsidR="001243FF" w:rsidRDefault="001243FF" w:rsidP="008D39B0">
      <w:pPr>
        <w:spacing w:after="0"/>
      </w:pPr>
      <w:r>
        <w:continuationSeparator/>
      </w:r>
    </w:p>
  </w:footnote>
  <w:footnote w:type="continuationNotice" w:id="1">
    <w:p w14:paraId="51EE716F" w14:textId="77777777" w:rsidR="001243FF" w:rsidRDefault="001243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16D1" w14:textId="5C9899C9" w:rsidR="00361356" w:rsidRDefault="00361356">
    <w:pPr>
      <w:pStyle w:val="Header"/>
    </w:pPr>
    <w:r>
      <w:rPr>
        <w:noProof/>
      </w:rPr>
      <w:drawing>
        <wp:anchor distT="0" distB="0" distL="114300" distR="114300" simplePos="0" relativeHeight="251658240" behindDoc="1" locked="0" layoutInCell="1" allowOverlap="1" wp14:anchorId="748D3BD0" wp14:editId="7EFE0B7F">
          <wp:simplePos x="0" y="0"/>
          <wp:positionH relativeFrom="page">
            <wp:align>left</wp:align>
          </wp:positionH>
          <wp:positionV relativeFrom="paragraph">
            <wp:posOffset>-324383</wp:posOffset>
          </wp:positionV>
          <wp:extent cx="7575246" cy="10724083"/>
          <wp:effectExtent l="0" t="0" r="6985"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80399" cy="1073137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3EDA" w14:textId="1FE8521F" w:rsidR="00361356" w:rsidRPr="00A653A9" w:rsidRDefault="00361356" w:rsidP="00361356">
    <w:pPr>
      <w:pStyle w:val="Header"/>
      <w:jc w:val="right"/>
      <w:rPr>
        <w:sz w:val="24"/>
        <w:szCs w:val="40"/>
      </w:rPr>
    </w:pPr>
    <w:r w:rsidRPr="00A653A9">
      <w:rPr>
        <w:sz w:val="24"/>
        <w:szCs w:val="40"/>
      </w:rPr>
      <w:t>Department of Transport and Main Roads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F7EE" w14:textId="3F44AC28" w:rsidR="008409D7" w:rsidRPr="00361356" w:rsidRDefault="008409D7" w:rsidP="008409D7">
    <w:pPr>
      <w:pStyle w:val="Header"/>
      <w:rPr>
        <w:sz w:val="18"/>
        <w:szCs w:val="28"/>
      </w:rPr>
    </w:pPr>
    <w:r>
      <w:rPr>
        <w:noProof/>
        <w:sz w:val="18"/>
        <w:szCs w:val="28"/>
      </w:rPr>
      <w:drawing>
        <wp:anchor distT="0" distB="0" distL="114300" distR="114300" simplePos="0" relativeHeight="251659264" behindDoc="1" locked="0" layoutInCell="1" allowOverlap="1" wp14:anchorId="7F67584B" wp14:editId="2584532B">
          <wp:simplePos x="0" y="0"/>
          <wp:positionH relativeFrom="page">
            <wp:align>right</wp:align>
          </wp:positionH>
          <wp:positionV relativeFrom="paragraph">
            <wp:posOffset>-323808</wp:posOffset>
          </wp:positionV>
          <wp:extent cx="7552706" cy="1068448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6" cy="106844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114380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79A5CD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F8C67B8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73EA5F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9123C5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AA0959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FC45C3"/>
    <w:multiLevelType w:val="hybridMultilevel"/>
    <w:tmpl w:val="08C0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251BD"/>
    <w:multiLevelType w:val="hybridMultilevel"/>
    <w:tmpl w:val="F3E40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B0517B"/>
    <w:multiLevelType w:val="singleLevel"/>
    <w:tmpl w:val="72CA2CF4"/>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9" w15:restartNumberingAfterBreak="0">
    <w:nsid w:val="40BC2495"/>
    <w:multiLevelType w:val="hybridMultilevel"/>
    <w:tmpl w:val="1E2C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7D6687"/>
    <w:multiLevelType w:val="hybridMultilevel"/>
    <w:tmpl w:val="46A0DF4A"/>
    <w:lvl w:ilvl="0" w:tplc="631A73CE">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7C17E8"/>
    <w:multiLevelType w:val="hybridMultilevel"/>
    <w:tmpl w:val="7270A7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AB20B7"/>
    <w:multiLevelType w:val="singleLevel"/>
    <w:tmpl w:val="E258E94C"/>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13" w15:restartNumberingAfterBreak="0">
    <w:nsid w:val="692B5B48"/>
    <w:multiLevelType w:val="multilevel"/>
    <w:tmpl w:val="F856A83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4" w15:restartNumberingAfterBreak="0">
    <w:nsid w:val="7BCF0359"/>
    <w:multiLevelType w:val="hybridMultilevel"/>
    <w:tmpl w:val="338E5928"/>
    <w:lvl w:ilvl="0" w:tplc="631A73CE">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F410B5"/>
    <w:multiLevelType w:val="singleLevel"/>
    <w:tmpl w:val="B90A3BB8"/>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6" w15:restartNumberingAfterBreak="0">
    <w:nsid w:val="7DD7787E"/>
    <w:multiLevelType w:val="hybridMultilevel"/>
    <w:tmpl w:val="8BBAD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7755435">
    <w:abstractNumId w:val="4"/>
  </w:num>
  <w:num w:numId="2" w16cid:durableId="342171024">
    <w:abstractNumId w:val="13"/>
  </w:num>
  <w:num w:numId="3" w16cid:durableId="468863513">
    <w:abstractNumId w:val="1"/>
  </w:num>
  <w:num w:numId="4" w16cid:durableId="1049839609">
    <w:abstractNumId w:val="0"/>
  </w:num>
  <w:num w:numId="5" w16cid:durableId="1802109384">
    <w:abstractNumId w:val="5"/>
  </w:num>
  <w:num w:numId="6" w16cid:durableId="1485007224">
    <w:abstractNumId w:val="8"/>
  </w:num>
  <w:num w:numId="7" w16cid:durableId="1758476649">
    <w:abstractNumId w:val="3"/>
  </w:num>
  <w:num w:numId="8" w16cid:durableId="1427075923">
    <w:abstractNumId w:val="12"/>
  </w:num>
  <w:num w:numId="9" w16cid:durableId="239485250">
    <w:abstractNumId w:val="2"/>
  </w:num>
  <w:num w:numId="10" w16cid:durableId="1687320355">
    <w:abstractNumId w:val="15"/>
  </w:num>
  <w:num w:numId="11" w16cid:durableId="1336766560">
    <w:abstractNumId w:val="16"/>
  </w:num>
  <w:num w:numId="12" w16cid:durableId="1608929661">
    <w:abstractNumId w:val="9"/>
  </w:num>
  <w:num w:numId="13" w16cid:durableId="1619411837">
    <w:abstractNumId w:val="14"/>
  </w:num>
  <w:num w:numId="14" w16cid:durableId="793331968">
    <w:abstractNumId w:val="10"/>
  </w:num>
  <w:num w:numId="15" w16cid:durableId="238515205">
    <w:abstractNumId w:val="11"/>
  </w:num>
  <w:num w:numId="16" w16cid:durableId="1554078693">
    <w:abstractNumId w:val="6"/>
  </w:num>
  <w:num w:numId="17" w16cid:durableId="1282614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97B"/>
    <w:rsid w:val="00027543"/>
    <w:rsid w:val="0003452B"/>
    <w:rsid w:val="000371E0"/>
    <w:rsid w:val="0004360B"/>
    <w:rsid w:val="0005570E"/>
    <w:rsid w:val="00066F38"/>
    <w:rsid w:val="00073D9B"/>
    <w:rsid w:val="00094532"/>
    <w:rsid w:val="000955E9"/>
    <w:rsid w:val="000A290C"/>
    <w:rsid w:val="000D1449"/>
    <w:rsid w:val="000D4846"/>
    <w:rsid w:val="000D695C"/>
    <w:rsid w:val="000E1E96"/>
    <w:rsid w:val="000F5456"/>
    <w:rsid w:val="00100A20"/>
    <w:rsid w:val="00101048"/>
    <w:rsid w:val="0011239A"/>
    <w:rsid w:val="00122066"/>
    <w:rsid w:val="001243FF"/>
    <w:rsid w:val="00126191"/>
    <w:rsid w:val="00126ACE"/>
    <w:rsid w:val="00130191"/>
    <w:rsid w:val="00131CED"/>
    <w:rsid w:val="00181357"/>
    <w:rsid w:val="001866C2"/>
    <w:rsid w:val="001B37A3"/>
    <w:rsid w:val="001C1C58"/>
    <w:rsid w:val="001C32FD"/>
    <w:rsid w:val="001C45AE"/>
    <w:rsid w:val="001E0DFF"/>
    <w:rsid w:val="001F5424"/>
    <w:rsid w:val="00211E15"/>
    <w:rsid w:val="00212ACB"/>
    <w:rsid w:val="002215A5"/>
    <w:rsid w:val="00221E0F"/>
    <w:rsid w:val="00225E1C"/>
    <w:rsid w:val="0022771A"/>
    <w:rsid w:val="00231209"/>
    <w:rsid w:val="00232FC8"/>
    <w:rsid w:val="00234F35"/>
    <w:rsid w:val="00235CFB"/>
    <w:rsid w:val="002439E6"/>
    <w:rsid w:val="00266027"/>
    <w:rsid w:val="00275DDB"/>
    <w:rsid w:val="002770AA"/>
    <w:rsid w:val="00280C1A"/>
    <w:rsid w:val="0028371F"/>
    <w:rsid w:val="00291C7D"/>
    <w:rsid w:val="00295A78"/>
    <w:rsid w:val="002A1D5E"/>
    <w:rsid w:val="002B3F5E"/>
    <w:rsid w:val="002B5290"/>
    <w:rsid w:val="002D3311"/>
    <w:rsid w:val="002E0529"/>
    <w:rsid w:val="002E53DD"/>
    <w:rsid w:val="002F6B64"/>
    <w:rsid w:val="00314977"/>
    <w:rsid w:val="00323CFC"/>
    <w:rsid w:val="00333FB2"/>
    <w:rsid w:val="00334C40"/>
    <w:rsid w:val="003408DC"/>
    <w:rsid w:val="00346F1E"/>
    <w:rsid w:val="00351437"/>
    <w:rsid w:val="003540B5"/>
    <w:rsid w:val="00361356"/>
    <w:rsid w:val="00390976"/>
    <w:rsid w:val="0039389D"/>
    <w:rsid w:val="00394F98"/>
    <w:rsid w:val="003A3CA1"/>
    <w:rsid w:val="003A421E"/>
    <w:rsid w:val="003A5ECC"/>
    <w:rsid w:val="003C67B5"/>
    <w:rsid w:val="003E294F"/>
    <w:rsid w:val="003E4CC8"/>
    <w:rsid w:val="003F0203"/>
    <w:rsid w:val="00400AE1"/>
    <w:rsid w:val="004110F0"/>
    <w:rsid w:val="00435F2D"/>
    <w:rsid w:val="00443EAC"/>
    <w:rsid w:val="004525E3"/>
    <w:rsid w:val="00453818"/>
    <w:rsid w:val="00465F6A"/>
    <w:rsid w:val="00470E58"/>
    <w:rsid w:val="004A1001"/>
    <w:rsid w:val="004A249E"/>
    <w:rsid w:val="004B09F2"/>
    <w:rsid w:val="004B2DA2"/>
    <w:rsid w:val="004C4392"/>
    <w:rsid w:val="004D6225"/>
    <w:rsid w:val="004E65F4"/>
    <w:rsid w:val="005015FE"/>
    <w:rsid w:val="005102A6"/>
    <w:rsid w:val="005115D8"/>
    <w:rsid w:val="0051584F"/>
    <w:rsid w:val="00517BC8"/>
    <w:rsid w:val="005265AE"/>
    <w:rsid w:val="00530DA0"/>
    <w:rsid w:val="005346F1"/>
    <w:rsid w:val="00544B10"/>
    <w:rsid w:val="005542B0"/>
    <w:rsid w:val="00582C2E"/>
    <w:rsid w:val="00583AFD"/>
    <w:rsid w:val="005A6B6A"/>
    <w:rsid w:val="005B59A6"/>
    <w:rsid w:val="005C603D"/>
    <w:rsid w:val="005F7F24"/>
    <w:rsid w:val="0062600D"/>
    <w:rsid w:val="006277AB"/>
    <w:rsid w:val="00630ED7"/>
    <w:rsid w:val="00634876"/>
    <w:rsid w:val="0063581B"/>
    <w:rsid w:val="006367E8"/>
    <w:rsid w:val="006406FE"/>
    <w:rsid w:val="00657890"/>
    <w:rsid w:val="00660C9D"/>
    <w:rsid w:val="00664AB2"/>
    <w:rsid w:val="0068351E"/>
    <w:rsid w:val="00683635"/>
    <w:rsid w:val="006A67DB"/>
    <w:rsid w:val="006B6257"/>
    <w:rsid w:val="006C1FCA"/>
    <w:rsid w:val="006C516E"/>
    <w:rsid w:val="006F5EE3"/>
    <w:rsid w:val="007047C4"/>
    <w:rsid w:val="00721489"/>
    <w:rsid w:val="00736A37"/>
    <w:rsid w:val="0074557B"/>
    <w:rsid w:val="00750E49"/>
    <w:rsid w:val="00760E79"/>
    <w:rsid w:val="00765FFF"/>
    <w:rsid w:val="007844F6"/>
    <w:rsid w:val="007850FE"/>
    <w:rsid w:val="00790649"/>
    <w:rsid w:val="007C13AC"/>
    <w:rsid w:val="007C6D93"/>
    <w:rsid w:val="007D0A5C"/>
    <w:rsid w:val="007D241A"/>
    <w:rsid w:val="007D3EC1"/>
    <w:rsid w:val="007D630C"/>
    <w:rsid w:val="007E46B2"/>
    <w:rsid w:val="007F0F50"/>
    <w:rsid w:val="007F3C71"/>
    <w:rsid w:val="008019EF"/>
    <w:rsid w:val="0081427E"/>
    <w:rsid w:val="008340FE"/>
    <w:rsid w:val="00835AF0"/>
    <w:rsid w:val="0083767F"/>
    <w:rsid w:val="008409D7"/>
    <w:rsid w:val="0085164E"/>
    <w:rsid w:val="00866B48"/>
    <w:rsid w:val="0087198A"/>
    <w:rsid w:val="00874521"/>
    <w:rsid w:val="00886307"/>
    <w:rsid w:val="008924F5"/>
    <w:rsid w:val="00896327"/>
    <w:rsid w:val="0089754D"/>
    <w:rsid w:val="00897E8F"/>
    <w:rsid w:val="008A3EC4"/>
    <w:rsid w:val="008A526C"/>
    <w:rsid w:val="008B2449"/>
    <w:rsid w:val="008D2B10"/>
    <w:rsid w:val="008D39B0"/>
    <w:rsid w:val="008D3A03"/>
    <w:rsid w:val="008E5ABA"/>
    <w:rsid w:val="008F1C18"/>
    <w:rsid w:val="008F58D5"/>
    <w:rsid w:val="008F7AE3"/>
    <w:rsid w:val="00915F1A"/>
    <w:rsid w:val="0091764B"/>
    <w:rsid w:val="00917FDD"/>
    <w:rsid w:val="00920D60"/>
    <w:rsid w:val="00923157"/>
    <w:rsid w:val="00945366"/>
    <w:rsid w:val="00945FBE"/>
    <w:rsid w:val="0095019A"/>
    <w:rsid w:val="009509E1"/>
    <w:rsid w:val="00950E8E"/>
    <w:rsid w:val="00954619"/>
    <w:rsid w:val="009553B6"/>
    <w:rsid w:val="00973ED8"/>
    <w:rsid w:val="00985513"/>
    <w:rsid w:val="00985B66"/>
    <w:rsid w:val="00997D18"/>
    <w:rsid w:val="009A1631"/>
    <w:rsid w:val="009A1EF2"/>
    <w:rsid w:val="009A4113"/>
    <w:rsid w:val="009C3D5D"/>
    <w:rsid w:val="009D185A"/>
    <w:rsid w:val="009D2A70"/>
    <w:rsid w:val="009E2937"/>
    <w:rsid w:val="009E2F6D"/>
    <w:rsid w:val="009E7341"/>
    <w:rsid w:val="009E7E1A"/>
    <w:rsid w:val="009F4DEA"/>
    <w:rsid w:val="009F5D5A"/>
    <w:rsid w:val="00A0679E"/>
    <w:rsid w:val="00A22305"/>
    <w:rsid w:val="00A2297B"/>
    <w:rsid w:val="00A31DB4"/>
    <w:rsid w:val="00A36F8A"/>
    <w:rsid w:val="00A373A4"/>
    <w:rsid w:val="00A4316E"/>
    <w:rsid w:val="00A43BD3"/>
    <w:rsid w:val="00A548E5"/>
    <w:rsid w:val="00A558E9"/>
    <w:rsid w:val="00A56499"/>
    <w:rsid w:val="00A653A9"/>
    <w:rsid w:val="00A831B2"/>
    <w:rsid w:val="00A87A8F"/>
    <w:rsid w:val="00A924EE"/>
    <w:rsid w:val="00A96747"/>
    <w:rsid w:val="00AA47B4"/>
    <w:rsid w:val="00AA4B37"/>
    <w:rsid w:val="00AB3981"/>
    <w:rsid w:val="00AB39D8"/>
    <w:rsid w:val="00AB41F3"/>
    <w:rsid w:val="00AC2B54"/>
    <w:rsid w:val="00AC7746"/>
    <w:rsid w:val="00AD349F"/>
    <w:rsid w:val="00AF5CA5"/>
    <w:rsid w:val="00AF7C2E"/>
    <w:rsid w:val="00B00170"/>
    <w:rsid w:val="00B03F4B"/>
    <w:rsid w:val="00B15D14"/>
    <w:rsid w:val="00B24409"/>
    <w:rsid w:val="00B27171"/>
    <w:rsid w:val="00B3437A"/>
    <w:rsid w:val="00B422F5"/>
    <w:rsid w:val="00B427AC"/>
    <w:rsid w:val="00B45325"/>
    <w:rsid w:val="00B45978"/>
    <w:rsid w:val="00B50476"/>
    <w:rsid w:val="00B510C6"/>
    <w:rsid w:val="00B57A6C"/>
    <w:rsid w:val="00B600FE"/>
    <w:rsid w:val="00B62B6B"/>
    <w:rsid w:val="00B707A7"/>
    <w:rsid w:val="00B726BD"/>
    <w:rsid w:val="00B73053"/>
    <w:rsid w:val="00B80CB0"/>
    <w:rsid w:val="00B83D4B"/>
    <w:rsid w:val="00B91062"/>
    <w:rsid w:val="00B97941"/>
    <w:rsid w:val="00BA3F5B"/>
    <w:rsid w:val="00BA6DA2"/>
    <w:rsid w:val="00BD1B7C"/>
    <w:rsid w:val="00BD35CF"/>
    <w:rsid w:val="00BD3F93"/>
    <w:rsid w:val="00BE09A7"/>
    <w:rsid w:val="00BE5FFF"/>
    <w:rsid w:val="00BE627A"/>
    <w:rsid w:val="00BE74C5"/>
    <w:rsid w:val="00BF0DF1"/>
    <w:rsid w:val="00C05DC6"/>
    <w:rsid w:val="00C13963"/>
    <w:rsid w:val="00C22657"/>
    <w:rsid w:val="00C31B7C"/>
    <w:rsid w:val="00C32FA9"/>
    <w:rsid w:val="00C43276"/>
    <w:rsid w:val="00C5170F"/>
    <w:rsid w:val="00C52568"/>
    <w:rsid w:val="00C57065"/>
    <w:rsid w:val="00C5712F"/>
    <w:rsid w:val="00C657F9"/>
    <w:rsid w:val="00C739EB"/>
    <w:rsid w:val="00C84593"/>
    <w:rsid w:val="00C84963"/>
    <w:rsid w:val="00CA5F82"/>
    <w:rsid w:val="00CC39DC"/>
    <w:rsid w:val="00CC4FC7"/>
    <w:rsid w:val="00CD3F94"/>
    <w:rsid w:val="00CD4D1C"/>
    <w:rsid w:val="00CE0EC1"/>
    <w:rsid w:val="00CF3CA5"/>
    <w:rsid w:val="00CF5C1C"/>
    <w:rsid w:val="00D013D5"/>
    <w:rsid w:val="00D16759"/>
    <w:rsid w:val="00D2072D"/>
    <w:rsid w:val="00D36900"/>
    <w:rsid w:val="00D419AE"/>
    <w:rsid w:val="00D65335"/>
    <w:rsid w:val="00D770AD"/>
    <w:rsid w:val="00D777C7"/>
    <w:rsid w:val="00D965C1"/>
    <w:rsid w:val="00DA2EF0"/>
    <w:rsid w:val="00DA3350"/>
    <w:rsid w:val="00DA4CBB"/>
    <w:rsid w:val="00DB6442"/>
    <w:rsid w:val="00DC6B97"/>
    <w:rsid w:val="00DD1BA3"/>
    <w:rsid w:val="00DD247D"/>
    <w:rsid w:val="00DF0362"/>
    <w:rsid w:val="00E1338D"/>
    <w:rsid w:val="00E27BD6"/>
    <w:rsid w:val="00E4628E"/>
    <w:rsid w:val="00E63E4E"/>
    <w:rsid w:val="00E8034C"/>
    <w:rsid w:val="00E83743"/>
    <w:rsid w:val="00EA1BE2"/>
    <w:rsid w:val="00EE5FB2"/>
    <w:rsid w:val="00EF6754"/>
    <w:rsid w:val="00F0576E"/>
    <w:rsid w:val="00F07C8F"/>
    <w:rsid w:val="00F07F3B"/>
    <w:rsid w:val="00F225D0"/>
    <w:rsid w:val="00F456DC"/>
    <w:rsid w:val="00F544D1"/>
    <w:rsid w:val="00F57269"/>
    <w:rsid w:val="00F663A4"/>
    <w:rsid w:val="00F67ACD"/>
    <w:rsid w:val="00F7664F"/>
    <w:rsid w:val="00F90FC5"/>
    <w:rsid w:val="00F954AB"/>
    <w:rsid w:val="00FA046D"/>
    <w:rsid w:val="00FA0D16"/>
    <w:rsid w:val="00FA1B5B"/>
    <w:rsid w:val="00FB729F"/>
    <w:rsid w:val="00FC27D9"/>
    <w:rsid w:val="00FD1EC6"/>
    <w:rsid w:val="00FE5E7F"/>
    <w:rsid w:val="00FF05B5"/>
    <w:rsid w:val="00FF3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2AE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90"/>
    <w:pPr>
      <w:spacing w:after="240" w:line="240" w:lineRule="auto"/>
    </w:pPr>
    <w:rPr>
      <w:rFonts w:ascii="Arial" w:hAnsi="Arial" w:cs="Arial"/>
      <w:sz w:val="20"/>
    </w:rPr>
  </w:style>
  <w:style w:type="paragraph" w:styleId="Heading1">
    <w:name w:val="heading 1"/>
    <w:basedOn w:val="Normal"/>
    <w:next w:val="Normal"/>
    <w:link w:val="Heading1Char"/>
    <w:uiPriority w:val="9"/>
    <w:qFormat/>
    <w:rsid w:val="00FF05B5"/>
    <w:pPr>
      <w:keepNext/>
      <w:keepLines/>
      <w:spacing w:before="120" w:after="120"/>
      <w:outlineLvl w:val="0"/>
    </w:pPr>
    <w:rPr>
      <w:rFonts w:asciiTheme="majorHAnsi" w:eastAsiaTheme="majorEastAsia" w:hAnsiTheme="majorHAnsi" w:cstheme="majorBidi"/>
      <w:b/>
      <w:color w:val="003C69"/>
      <w:sz w:val="40"/>
      <w:szCs w:val="32"/>
    </w:rPr>
  </w:style>
  <w:style w:type="paragraph" w:styleId="Heading2">
    <w:name w:val="heading 2"/>
    <w:basedOn w:val="Heading1"/>
    <w:next w:val="Normal"/>
    <w:link w:val="Heading2Char"/>
    <w:uiPriority w:val="9"/>
    <w:unhideWhenUsed/>
    <w:qFormat/>
    <w:rsid w:val="00B27171"/>
    <w:pPr>
      <w:spacing w:before="40"/>
      <w:outlineLvl w:val="1"/>
    </w:pPr>
    <w:rPr>
      <w:sz w:val="28"/>
      <w:szCs w:val="26"/>
    </w:rPr>
  </w:style>
  <w:style w:type="paragraph" w:styleId="Heading3">
    <w:name w:val="heading 3"/>
    <w:basedOn w:val="Heading2"/>
    <w:next w:val="Normal"/>
    <w:link w:val="Heading3Char"/>
    <w:uiPriority w:val="9"/>
    <w:unhideWhenUsed/>
    <w:qFormat/>
    <w:rsid w:val="00B27171"/>
    <w:pPr>
      <w:outlineLvl w:val="2"/>
    </w:pPr>
    <w:rPr>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DD1BA3"/>
    <w:pPr>
      <w:spacing w:after="120" w:line="300" w:lineRule="atLeast"/>
    </w:pPr>
  </w:style>
  <w:style w:type="character" w:customStyle="1" w:styleId="BodyTextChar">
    <w:name w:val="Body Text Char"/>
    <w:basedOn w:val="DefaultParagraphFont"/>
    <w:link w:val="BodyText"/>
    <w:rsid w:val="00DD1BA3"/>
    <w:rPr>
      <w:rFonts w:ascii="Arial" w:hAnsi="Arial" w:cs="Arial"/>
    </w:rPr>
  </w:style>
  <w:style w:type="paragraph" w:styleId="Footer">
    <w:name w:val="footer"/>
    <w:basedOn w:val="BodyText"/>
    <w:link w:val="FooterChar"/>
    <w:uiPriority w:val="99"/>
    <w:unhideWhenUsed/>
    <w:rsid w:val="00DD1BA3"/>
    <w:pPr>
      <w:tabs>
        <w:tab w:val="center" w:pos="4536"/>
        <w:tab w:val="right" w:pos="9072"/>
      </w:tabs>
      <w:spacing w:after="0" w:line="240" w:lineRule="auto"/>
    </w:pPr>
    <w:rPr>
      <w:sz w:val="15"/>
    </w:rPr>
  </w:style>
  <w:style w:type="character" w:customStyle="1" w:styleId="FooterChar">
    <w:name w:val="Footer Char"/>
    <w:basedOn w:val="DefaultParagraphFont"/>
    <w:link w:val="Footer"/>
    <w:uiPriority w:val="99"/>
    <w:rsid w:val="00DD1BA3"/>
    <w:rPr>
      <w:rFonts w:ascii="Arial" w:hAnsi="Arial" w:cs="Arial"/>
      <w:sz w:val="15"/>
    </w:rPr>
  </w:style>
  <w:style w:type="paragraph" w:styleId="Header">
    <w:name w:val="header"/>
    <w:basedOn w:val="BodyText"/>
    <w:link w:val="HeaderChar"/>
    <w:uiPriority w:val="99"/>
    <w:unhideWhenUsed/>
    <w:rsid w:val="00DD1BA3"/>
    <w:pPr>
      <w:tabs>
        <w:tab w:val="center" w:pos="4536"/>
        <w:tab w:val="right" w:pos="9072"/>
      </w:tabs>
      <w:spacing w:after="0" w:line="240" w:lineRule="auto"/>
    </w:pPr>
    <w:rPr>
      <w:sz w:val="15"/>
    </w:rPr>
  </w:style>
  <w:style w:type="character" w:customStyle="1" w:styleId="HeaderChar">
    <w:name w:val="Header Char"/>
    <w:basedOn w:val="DefaultParagraphFont"/>
    <w:link w:val="Header"/>
    <w:uiPriority w:val="99"/>
    <w:rsid w:val="00DD1BA3"/>
    <w:rPr>
      <w:rFonts w:ascii="Arial" w:hAnsi="Arial" w:cs="Arial"/>
      <w:sz w:val="15"/>
    </w:rPr>
  </w:style>
  <w:style w:type="paragraph" w:customStyle="1" w:styleId="Header2">
    <w:name w:val="Header 2"/>
    <w:basedOn w:val="Header"/>
    <w:link w:val="Header2Char"/>
    <w:rsid w:val="00DD1BA3"/>
    <w:pPr>
      <w:pBdr>
        <w:bottom w:val="single" w:sz="4" w:space="4" w:color="auto"/>
      </w:pBdr>
    </w:pPr>
  </w:style>
  <w:style w:type="character" w:customStyle="1" w:styleId="Header2Char">
    <w:name w:val="Header 2 Char"/>
    <w:basedOn w:val="DefaultParagraphFont"/>
    <w:link w:val="Header2"/>
    <w:rsid w:val="00DD1BA3"/>
    <w:rPr>
      <w:rFonts w:ascii="Arial" w:hAnsi="Arial" w:cs="Arial"/>
      <w:sz w:val="15"/>
    </w:rPr>
  </w:style>
  <w:style w:type="paragraph" w:customStyle="1" w:styleId="Footer2">
    <w:name w:val="Footer 2"/>
    <w:basedOn w:val="Footer"/>
    <w:link w:val="Footer2Char"/>
    <w:rsid w:val="00DD1BA3"/>
    <w:pPr>
      <w:pBdr>
        <w:top w:val="single" w:sz="4" w:space="4" w:color="auto"/>
      </w:pBdr>
    </w:pPr>
  </w:style>
  <w:style w:type="character" w:customStyle="1" w:styleId="Footer2Char">
    <w:name w:val="Footer 2 Char"/>
    <w:basedOn w:val="DefaultParagraphFont"/>
    <w:link w:val="Footer2"/>
    <w:rsid w:val="00DD1BA3"/>
    <w:rPr>
      <w:rFonts w:ascii="Arial" w:hAnsi="Arial" w:cs="Arial"/>
      <w:sz w:val="15"/>
    </w:rPr>
  </w:style>
  <w:style w:type="paragraph" w:styleId="ListNumber">
    <w:name w:val="List Number"/>
    <w:basedOn w:val="BodyText"/>
    <w:uiPriority w:val="99"/>
    <w:semiHidden/>
    <w:unhideWhenUsed/>
    <w:rsid w:val="00DD1BA3"/>
    <w:pPr>
      <w:numPr>
        <w:numId w:val="2"/>
      </w:numPr>
      <w:contextualSpacing/>
    </w:pPr>
  </w:style>
  <w:style w:type="paragraph" w:styleId="ListNumber2">
    <w:name w:val="List Number 2"/>
    <w:basedOn w:val="BodyText"/>
    <w:uiPriority w:val="99"/>
    <w:semiHidden/>
    <w:unhideWhenUsed/>
    <w:rsid w:val="00DD1BA3"/>
    <w:pPr>
      <w:numPr>
        <w:ilvl w:val="1"/>
        <w:numId w:val="2"/>
      </w:numPr>
      <w:contextualSpacing/>
    </w:pPr>
  </w:style>
  <w:style w:type="paragraph" w:styleId="ListNumber3">
    <w:name w:val="List Number 3"/>
    <w:basedOn w:val="BodyText"/>
    <w:uiPriority w:val="99"/>
    <w:semiHidden/>
    <w:unhideWhenUsed/>
    <w:rsid w:val="00DD1BA3"/>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DD1BA3"/>
    <w:pPr>
      <w:numPr>
        <w:numId w:val="6"/>
      </w:numPr>
      <w:contextualSpacing/>
    </w:pPr>
  </w:style>
  <w:style w:type="paragraph" w:styleId="ListBullet2">
    <w:name w:val="List Bullet 2"/>
    <w:basedOn w:val="BodyText"/>
    <w:uiPriority w:val="99"/>
    <w:semiHidden/>
    <w:unhideWhenUsed/>
    <w:rsid w:val="00DD1BA3"/>
    <w:pPr>
      <w:numPr>
        <w:numId w:val="8"/>
      </w:numPr>
      <w:contextualSpacing/>
    </w:pPr>
  </w:style>
  <w:style w:type="paragraph" w:styleId="ListBullet3">
    <w:name w:val="List Bullet 3"/>
    <w:basedOn w:val="BodyText"/>
    <w:uiPriority w:val="99"/>
    <w:semiHidden/>
    <w:unhideWhenUsed/>
    <w:rsid w:val="00DD1BA3"/>
    <w:pPr>
      <w:numPr>
        <w:numId w:val="10"/>
      </w:numPr>
      <w:contextualSpacing/>
    </w:pPr>
  </w:style>
  <w:style w:type="paragraph" w:styleId="EnvelopeAddress">
    <w:name w:val="envelope address"/>
    <w:basedOn w:val="BodyText"/>
    <w:uiPriority w:val="99"/>
    <w:semiHidden/>
    <w:unhideWhenUsed/>
    <w:rsid w:val="00DD1BA3"/>
    <w:pPr>
      <w:framePr w:w="7920" w:h="1980" w:hRule="exact" w:hSpace="180" w:wrap="auto" w:hAnchor="page" w:xAlign="center" w:yAlign="bottom"/>
      <w:spacing w:after="0"/>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F05B5"/>
    <w:rPr>
      <w:rFonts w:asciiTheme="majorHAnsi" w:eastAsiaTheme="majorEastAsia" w:hAnsiTheme="majorHAnsi" w:cstheme="majorBidi"/>
      <w:b/>
      <w:color w:val="003C69"/>
      <w:sz w:val="40"/>
      <w:szCs w:val="32"/>
    </w:rPr>
  </w:style>
  <w:style w:type="character" w:customStyle="1" w:styleId="Heading2Char">
    <w:name w:val="Heading 2 Char"/>
    <w:basedOn w:val="DefaultParagraphFont"/>
    <w:link w:val="Heading2"/>
    <w:uiPriority w:val="9"/>
    <w:rsid w:val="00B27171"/>
    <w:rPr>
      <w:rFonts w:asciiTheme="majorHAnsi" w:eastAsiaTheme="majorEastAsia" w:hAnsiTheme="majorHAnsi" w:cstheme="majorBidi"/>
      <w:b/>
      <w:color w:val="003C69"/>
      <w:sz w:val="28"/>
      <w:szCs w:val="26"/>
    </w:rPr>
  </w:style>
  <w:style w:type="paragraph" w:styleId="Title">
    <w:name w:val="Title"/>
    <w:basedOn w:val="Normal"/>
    <w:next w:val="Normal"/>
    <w:link w:val="TitleChar"/>
    <w:uiPriority w:val="10"/>
    <w:qFormat/>
    <w:rsid w:val="008D39B0"/>
    <w:pPr>
      <w:contextualSpacing/>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8D39B0"/>
    <w:rPr>
      <w:rFonts w:asciiTheme="majorHAnsi" w:eastAsiaTheme="majorEastAsia" w:hAnsiTheme="majorHAnsi" w:cstheme="majorBidi"/>
      <w:b/>
      <w:color w:val="FFFFFF" w:themeColor="background1"/>
      <w:spacing w:val="-10"/>
      <w:kern w:val="28"/>
      <w:sz w:val="56"/>
      <w:szCs w:val="56"/>
    </w:rPr>
  </w:style>
  <w:style w:type="character" w:customStyle="1" w:styleId="Heading3Char">
    <w:name w:val="Heading 3 Char"/>
    <w:basedOn w:val="DefaultParagraphFont"/>
    <w:link w:val="Heading3"/>
    <w:uiPriority w:val="9"/>
    <w:rsid w:val="00B27171"/>
    <w:rPr>
      <w:rFonts w:asciiTheme="majorHAnsi" w:eastAsiaTheme="majorEastAsia" w:hAnsiTheme="majorHAnsi" w:cstheme="majorBidi"/>
      <w:b/>
      <w:color w:val="1F3763" w:themeColor="accent1" w:themeShade="7F"/>
      <w:sz w:val="28"/>
      <w:szCs w:val="24"/>
    </w:rPr>
  </w:style>
  <w:style w:type="paragraph" w:styleId="TOCHeading">
    <w:name w:val="TOC Heading"/>
    <w:basedOn w:val="Heading1"/>
    <w:next w:val="Normal"/>
    <w:uiPriority w:val="39"/>
    <w:unhideWhenUsed/>
    <w:qFormat/>
    <w:rsid w:val="001E0DFF"/>
    <w:pPr>
      <w:spacing w:before="240" w:line="259" w:lineRule="auto"/>
      <w:outlineLvl w:val="9"/>
    </w:pPr>
    <w:rPr>
      <w:lang w:val="en-US"/>
    </w:rPr>
  </w:style>
  <w:style w:type="paragraph" w:styleId="TOC1">
    <w:name w:val="toc 1"/>
    <w:basedOn w:val="Normal"/>
    <w:next w:val="Normal"/>
    <w:autoRedefine/>
    <w:uiPriority w:val="39"/>
    <w:unhideWhenUsed/>
    <w:rsid w:val="00131CED"/>
    <w:pPr>
      <w:tabs>
        <w:tab w:val="right" w:leader="dot" w:pos="9639"/>
      </w:tabs>
      <w:spacing w:after="100"/>
    </w:pPr>
    <w:rPr>
      <w:sz w:val="24"/>
    </w:rPr>
  </w:style>
  <w:style w:type="paragraph" w:styleId="TOC2">
    <w:name w:val="toc 2"/>
    <w:basedOn w:val="Normal"/>
    <w:next w:val="Normal"/>
    <w:autoRedefine/>
    <w:uiPriority w:val="39"/>
    <w:unhideWhenUsed/>
    <w:rsid w:val="00131CED"/>
    <w:pPr>
      <w:tabs>
        <w:tab w:val="right" w:leader="dot" w:pos="9639"/>
      </w:tabs>
      <w:spacing w:after="100"/>
      <w:ind w:left="200"/>
    </w:pPr>
    <w:rPr>
      <w:sz w:val="24"/>
    </w:rPr>
  </w:style>
  <w:style w:type="character" w:styleId="Hyperlink">
    <w:name w:val="Hyperlink"/>
    <w:basedOn w:val="DefaultParagraphFont"/>
    <w:uiPriority w:val="99"/>
    <w:unhideWhenUsed/>
    <w:rsid w:val="007850FE"/>
    <w:rPr>
      <w:color w:val="0563C1" w:themeColor="hyperlink"/>
      <w:u w:val="single"/>
    </w:rPr>
  </w:style>
  <w:style w:type="paragraph" w:styleId="Caption">
    <w:name w:val="caption"/>
    <w:basedOn w:val="Normal"/>
    <w:next w:val="Normal"/>
    <w:uiPriority w:val="35"/>
    <w:unhideWhenUsed/>
    <w:qFormat/>
    <w:rsid w:val="00A653A9"/>
    <w:pPr>
      <w:spacing w:before="60"/>
    </w:pPr>
    <w:rPr>
      <w:b/>
      <w:bCs/>
      <w:i/>
      <w:iCs/>
      <w:color w:val="003C69"/>
      <w:sz w:val="24"/>
      <w:szCs w:val="24"/>
    </w:rPr>
  </w:style>
  <w:style w:type="character" w:styleId="UnresolvedMention">
    <w:name w:val="Unresolved Mention"/>
    <w:basedOn w:val="DefaultParagraphFont"/>
    <w:uiPriority w:val="99"/>
    <w:semiHidden/>
    <w:unhideWhenUsed/>
    <w:rsid w:val="007850FE"/>
    <w:rPr>
      <w:color w:val="605E5C"/>
      <w:shd w:val="clear" w:color="auto" w:fill="E1DFDD"/>
    </w:rPr>
  </w:style>
  <w:style w:type="paragraph" w:styleId="NoSpacing">
    <w:name w:val="No Spacing"/>
    <w:uiPriority w:val="1"/>
    <w:qFormat/>
    <w:rsid w:val="007850FE"/>
    <w:pPr>
      <w:spacing w:after="0" w:line="240" w:lineRule="auto"/>
    </w:pPr>
    <w:rPr>
      <w:rFonts w:ascii="Arial" w:hAnsi="Arial" w:cs="Arial"/>
      <w:sz w:val="20"/>
    </w:rPr>
  </w:style>
  <w:style w:type="table" w:styleId="TableGrid">
    <w:name w:val="Table Grid"/>
    <w:basedOn w:val="TableNormal"/>
    <w:rsid w:val="000F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E0DFF"/>
    <w:pPr>
      <w:spacing w:after="100"/>
      <w:ind w:left="400"/>
    </w:pPr>
  </w:style>
  <w:style w:type="paragraph" w:styleId="ListParagraph">
    <w:name w:val="List Paragraph"/>
    <w:basedOn w:val="Normal"/>
    <w:uiPriority w:val="34"/>
    <w:qFormat/>
    <w:rsid w:val="00470E58"/>
    <w:pPr>
      <w:ind w:left="720"/>
      <w:contextualSpacing/>
    </w:pPr>
  </w:style>
  <w:style w:type="table" w:customStyle="1" w:styleId="NavyTable">
    <w:name w:val="Navy Table"/>
    <w:basedOn w:val="TableNormal"/>
    <w:uiPriority w:val="99"/>
    <w:rsid w:val="00FA1B5B"/>
    <w:pPr>
      <w:spacing w:after="0" w:line="240" w:lineRule="auto"/>
    </w:pPr>
    <w:tblPr>
      <w:tblStyleRowBandSize w:val="1"/>
      <w:tblStyleColBandSize w:val="1"/>
      <w:tblInd w:w="108" w:type="dxa"/>
      <w:tblBorders>
        <w:bottom w:val="single" w:sz="4" w:space="0" w:color="003E69"/>
        <w:insideH w:val="single" w:sz="4" w:space="0" w:color="003E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E69"/>
      </w:tcPr>
    </w:tblStylePr>
    <w:tblStylePr w:type="lastRow">
      <w:rPr>
        <w:b w:val="0"/>
      </w:rPr>
      <w:tblPr/>
      <w:tcPr>
        <w:shd w:val="clear" w:color="auto" w:fill="99B1C3"/>
      </w:tcPr>
    </w:tblStylePr>
    <w:tblStylePr w:type="firstCol">
      <w:tblPr/>
      <w:tcPr>
        <w:tcBorders>
          <w:insideH w:val="nil"/>
        </w:tcBorders>
        <w:shd w:val="clear" w:color="auto" w:fill="003E69"/>
      </w:tcPr>
    </w:tblStylePr>
    <w:tblStylePr w:type="band2Vert">
      <w:tblPr/>
      <w:tcPr>
        <w:shd w:val="clear" w:color="auto" w:fill="CCD8E1"/>
      </w:tcPr>
    </w:tblStylePr>
    <w:tblStylePr w:type="band2Horz">
      <w:tblPr/>
      <w:tcPr>
        <w:shd w:val="clear" w:color="auto" w:fill="CCD8E1"/>
      </w:tcPr>
    </w:tblStylePr>
  </w:style>
  <w:style w:type="table" w:styleId="GridTable4-Accent1">
    <w:name w:val="Grid Table 4 Accent 1"/>
    <w:basedOn w:val="TableNormal"/>
    <w:uiPriority w:val="49"/>
    <w:rsid w:val="00FA1B5B"/>
    <w:pPr>
      <w:spacing w:after="0" w:line="240" w:lineRule="auto"/>
    </w:pPr>
    <w:tblPr>
      <w:tblStyleRowBandSize w:val="1"/>
      <w:tblStyleColBandSize w:val="1"/>
      <w:tblBorders>
        <w:top w:val="single" w:sz="4" w:space="0" w:color="003C69"/>
        <w:left w:val="single" w:sz="4" w:space="0" w:color="003C69"/>
        <w:bottom w:val="single" w:sz="4" w:space="0" w:color="003C69"/>
        <w:right w:val="single" w:sz="4" w:space="0" w:color="003C69"/>
        <w:insideH w:val="single" w:sz="4" w:space="0" w:color="003C69"/>
        <w:insideV w:val="single" w:sz="4" w:space="0" w:color="003C6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003C69"/>
      </w:tcPr>
    </w:tblStylePr>
    <w:tblStylePr w:type="lastRow">
      <w:rPr>
        <w:b/>
        <w:bCs/>
      </w:rPr>
      <w:tblPr/>
      <w:tcPr>
        <w:tcBorders>
          <w:top w:val="double" w:sz="4" w:space="0" w:color="4472C4" w:themeColor="accent1"/>
        </w:tcBorders>
      </w:tcPr>
    </w:tblStylePr>
    <w:tblStylePr w:type="firstCol">
      <w:rPr>
        <w:b w:val="0"/>
        <w:bCs/>
      </w:rPr>
      <w:tblPr/>
      <w:tcPr>
        <w:tcBorders>
          <w:top w:val="nil"/>
          <w:left w:val="nil"/>
          <w:bottom w:val="nil"/>
          <w:right w:val="nil"/>
          <w:insideH w:val="nil"/>
          <w:insideV w:val="nil"/>
          <w:tl2br w:val="nil"/>
          <w:tr2bl w:val="nil"/>
        </w:tcBorders>
        <w:shd w:val="clear" w:color="auto" w:fill="003C69"/>
      </w:tc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3A5ECC"/>
    <w:rPr>
      <w:sz w:val="16"/>
      <w:szCs w:val="16"/>
    </w:rPr>
  </w:style>
  <w:style w:type="paragraph" w:styleId="CommentText">
    <w:name w:val="annotation text"/>
    <w:basedOn w:val="Normal"/>
    <w:link w:val="CommentTextChar"/>
    <w:uiPriority w:val="99"/>
    <w:unhideWhenUsed/>
    <w:rsid w:val="003A5ECC"/>
    <w:rPr>
      <w:szCs w:val="20"/>
    </w:rPr>
  </w:style>
  <w:style w:type="character" w:customStyle="1" w:styleId="CommentTextChar">
    <w:name w:val="Comment Text Char"/>
    <w:basedOn w:val="DefaultParagraphFont"/>
    <w:link w:val="CommentText"/>
    <w:uiPriority w:val="99"/>
    <w:rsid w:val="003A5E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5ECC"/>
    <w:rPr>
      <w:b/>
      <w:bCs/>
    </w:rPr>
  </w:style>
  <w:style w:type="character" w:customStyle="1" w:styleId="CommentSubjectChar">
    <w:name w:val="Comment Subject Char"/>
    <w:basedOn w:val="CommentTextChar"/>
    <w:link w:val="CommentSubject"/>
    <w:uiPriority w:val="99"/>
    <w:semiHidden/>
    <w:rsid w:val="003A5ECC"/>
    <w:rPr>
      <w:rFonts w:ascii="Arial" w:hAnsi="Arial" w:cs="Arial"/>
      <w:b/>
      <w:bCs/>
      <w:sz w:val="20"/>
      <w:szCs w:val="20"/>
    </w:rPr>
  </w:style>
  <w:style w:type="paragraph" w:styleId="Revision">
    <w:name w:val="Revision"/>
    <w:hidden/>
    <w:uiPriority w:val="99"/>
    <w:semiHidden/>
    <w:rsid w:val="009E7341"/>
    <w:pPr>
      <w:spacing w:after="0" w:line="240" w:lineRule="auto"/>
    </w:pPr>
    <w:rPr>
      <w:rFonts w:ascii="Arial" w:hAnsi="Arial" w:cs="Arial"/>
      <w:sz w:val="20"/>
    </w:rPr>
  </w:style>
  <w:style w:type="table" w:styleId="GridTable5Dark">
    <w:name w:val="Grid Table 5 Dark"/>
    <w:basedOn w:val="TableNormal"/>
    <w:uiPriority w:val="50"/>
    <w:rsid w:val="00866B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866B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39799">
      <w:bodyDiv w:val="1"/>
      <w:marLeft w:val="0"/>
      <w:marRight w:val="0"/>
      <w:marTop w:val="0"/>
      <w:marBottom w:val="0"/>
      <w:divBdr>
        <w:top w:val="none" w:sz="0" w:space="0" w:color="auto"/>
        <w:left w:val="none" w:sz="0" w:space="0" w:color="auto"/>
        <w:bottom w:val="none" w:sz="0" w:space="0" w:color="auto"/>
        <w:right w:val="none" w:sz="0" w:space="0" w:color="auto"/>
      </w:divBdr>
    </w:div>
    <w:div w:id="1003901411">
      <w:bodyDiv w:val="1"/>
      <w:marLeft w:val="0"/>
      <w:marRight w:val="0"/>
      <w:marTop w:val="0"/>
      <w:marBottom w:val="0"/>
      <w:divBdr>
        <w:top w:val="none" w:sz="0" w:space="0" w:color="auto"/>
        <w:left w:val="none" w:sz="0" w:space="0" w:color="auto"/>
        <w:bottom w:val="none" w:sz="0" w:space="0" w:color="auto"/>
        <w:right w:val="none" w:sz="0" w:space="0" w:color="auto"/>
      </w:divBdr>
    </w:div>
    <w:div w:id="1117528522">
      <w:bodyDiv w:val="1"/>
      <w:marLeft w:val="0"/>
      <w:marRight w:val="0"/>
      <w:marTop w:val="0"/>
      <w:marBottom w:val="0"/>
      <w:divBdr>
        <w:top w:val="none" w:sz="0" w:space="0" w:color="auto"/>
        <w:left w:val="none" w:sz="0" w:space="0" w:color="auto"/>
        <w:bottom w:val="none" w:sz="0" w:space="0" w:color="auto"/>
        <w:right w:val="none" w:sz="0" w:space="0" w:color="auto"/>
      </w:divBdr>
    </w:div>
    <w:div w:id="1214348125">
      <w:bodyDiv w:val="1"/>
      <w:marLeft w:val="0"/>
      <w:marRight w:val="0"/>
      <w:marTop w:val="0"/>
      <w:marBottom w:val="0"/>
      <w:divBdr>
        <w:top w:val="none" w:sz="0" w:space="0" w:color="auto"/>
        <w:left w:val="none" w:sz="0" w:space="0" w:color="auto"/>
        <w:bottom w:val="none" w:sz="0" w:space="0" w:color="auto"/>
        <w:right w:val="none" w:sz="0" w:space="0" w:color="auto"/>
      </w:divBdr>
    </w:div>
    <w:div w:id="1353340503">
      <w:bodyDiv w:val="1"/>
      <w:marLeft w:val="0"/>
      <w:marRight w:val="0"/>
      <w:marTop w:val="0"/>
      <w:marBottom w:val="0"/>
      <w:divBdr>
        <w:top w:val="none" w:sz="0" w:space="0" w:color="auto"/>
        <w:left w:val="none" w:sz="0" w:space="0" w:color="auto"/>
        <w:bottom w:val="none" w:sz="0" w:space="0" w:color="auto"/>
        <w:right w:val="none" w:sz="0" w:space="0" w:color="auto"/>
      </w:divBdr>
    </w:div>
    <w:div w:id="1516074019">
      <w:bodyDiv w:val="1"/>
      <w:marLeft w:val="0"/>
      <w:marRight w:val="0"/>
      <w:marTop w:val="0"/>
      <w:marBottom w:val="0"/>
      <w:divBdr>
        <w:top w:val="none" w:sz="0" w:space="0" w:color="auto"/>
        <w:left w:val="none" w:sz="0" w:space="0" w:color="auto"/>
        <w:bottom w:val="none" w:sz="0" w:space="0" w:color="auto"/>
        <w:right w:val="none" w:sz="0" w:space="0" w:color="auto"/>
      </w:divBdr>
    </w:div>
    <w:div w:id="1600522114">
      <w:bodyDiv w:val="1"/>
      <w:marLeft w:val="0"/>
      <w:marRight w:val="0"/>
      <w:marTop w:val="0"/>
      <w:marBottom w:val="0"/>
      <w:divBdr>
        <w:top w:val="none" w:sz="0" w:space="0" w:color="auto"/>
        <w:left w:val="none" w:sz="0" w:space="0" w:color="auto"/>
        <w:bottom w:val="none" w:sz="0" w:space="0" w:color="auto"/>
        <w:right w:val="none" w:sz="0" w:space="0" w:color="auto"/>
      </w:divBdr>
    </w:div>
    <w:div w:id="1603604652">
      <w:bodyDiv w:val="1"/>
      <w:marLeft w:val="0"/>
      <w:marRight w:val="0"/>
      <w:marTop w:val="0"/>
      <w:marBottom w:val="0"/>
      <w:divBdr>
        <w:top w:val="none" w:sz="0" w:space="0" w:color="auto"/>
        <w:left w:val="none" w:sz="0" w:space="0" w:color="auto"/>
        <w:bottom w:val="none" w:sz="0" w:space="0" w:color="auto"/>
        <w:right w:val="none" w:sz="0" w:space="0" w:color="auto"/>
      </w:divBdr>
    </w:div>
    <w:div w:id="18961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ld.gov.au/environment/management/waste/strategy"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file:///\\corp.tmr.qld.gov.au\shares\Groups\DDGMR\PDO%20BMO\CSM\4_Projects\2023%20-%20PMD%20W2R%20Annual%20Report%20Comms%20Plan\Review%20of%20report%20drafts\www.tmr.qld.gov.au\projects\may-downs-road-pave-and-seal" TargetMode="External"/><Relationship Id="rId40" Type="http://schemas.openxmlformats.org/officeDocument/2006/relationships/hyperlink" Target="file:///\\corp.tmr.qld.gov.au\shares\Groups\DDGMR\PDO%20BMO\CSM\4_Projects\2023%20-%20PMD%20W2R%20Annual%20Report%20Comms%20Plan\Review%20of%20report%20drafts\www.tmr.qld.gov.au\projects\pacific-motorway-m1-palm-beach-nineteenth-avenue-to-tugun" TargetMode="External"/><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file:///\\corp.tmr.qld.gov.au\shares\Groups\DDGMR\PDO%20BMO\CSM\4_Projects\2023%20-%20PMD%20W2R%20Annual%20Report%20Comms%20Plan\Review%20of%20report%20drafts\www.tmr.qld.gov.au\projects\pacific-motorway-m1-varsity-lakes-to-burleigh" TargetMode="External"/><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file:///\\corp.tmr.qld.gov.au\shares\Groups\DDGMR\PDO%20BMO\CSM\4_Projects\2023%20-%20PMD%20W2R%20Annual%20Report%20Comms%20Plan\Review%20of%20report%20drafts\www.tmr.qld.gov.au\projects\bruce-highway-cairns-southern-access-corridor-stage-3-edmonton-to-gordonvale" TargetMode="External"/><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33385</CharactersWithSpaces>
  <SharedDoc>false</SharedDoc>
  <HLinks>
    <vt:vector size="96" baseType="variant">
      <vt:variant>
        <vt:i4>5963849</vt:i4>
      </vt:variant>
      <vt:variant>
        <vt:i4>96</vt:i4>
      </vt:variant>
      <vt:variant>
        <vt:i4>0</vt:i4>
      </vt:variant>
      <vt:variant>
        <vt:i4>5</vt:i4>
      </vt:variant>
      <vt:variant>
        <vt:lpwstr>https://www.qld.gov.au/environment/management/waste/strategy</vt:lpwstr>
      </vt:variant>
      <vt:variant>
        <vt:lpwstr/>
      </vt:variant>
      <vt:variant>
        <vt:i4>1310777</vt:i4>
      </vt:variant>
      <vt:variant>
        <vt:i4>86</vt:i4>
      </vt:variant>
      <vt:variant>
        <vt:i4>0</vt:i4>
      </vt:variant>
      <vt:variant>
        <vt:i4>5</vt:i4>
      </vt:variant>
      <vt:variant>
        <vt:lpwstr/>
      </vt:variant>
      <vt:variant>
        <vt:lpwstr>_Toc145689581</vt:lpwstr>
      </vt:variant>
      <vt:variant>
        <vt:i4>1310777</vt:i4>
      </vt:variant>
      <vt:variant>
        <vt:i4>80</vt:i4>
      </vt:variant>
      <vt:variant>
        <vt:i4>0</vt:i4>
      </vt:variant>
      <vt:variant>
        <vt:i4>5</vt:i4>
      </vt:variant>
      <vt:variant>
        <vt:lpwstr/>
      </vt:variant>
      <vt:variant>
        <vt:lpwstr>_Toc145689580</vt:lpwstr>
      </vt:variant>
      <vt:variant>
        <vt:i4>1769529</vt:i4>
      </vt:variant>
      <vt:variant>
        <vt:i4>74</vt:i4>
      </vt:variant>
      <vt:variant>
        <vt:i4>0</vt:i4>
      </vt:variant>
      <vt:variant>
        <vt:i4>5</vt:i4>
      </vt:variant>
      <vt:variant>
        <vt:lpwstr/>
      </vt:variant>
      <vt:variant>
        <vt:lpwstr>_Toc145689579</vt:lpwstr>
      </vt:variant>
      <vt:variant>
        <vt:i4>1769529</vt:i4>
      </vt:variant>
      <vt:variant>
        <vt:i4>68</vt:i4>
      </vt:variant>
      <vt:variant>
        <vt:i4>0</vt:i4>
      </vt:variant>
      <vt:variant>
        <vt:i4>5</vt:i4>
      </vt:variant>
      <vt:variant>
        <vt:lpwstr/>
      </vt:variant>
      <vt:variant>
        <vt:lpwstr>_Toc145689578</vt:lpwstr>
      </vt:variant>
      <vt:variant>
        <vt:i4>1769529</vt:i4>
      </vt:variant>
      <vt:variant>
        <vt:i4>62</vt:i4>
      </vt:variant>
      <vt:variant>
        <vt:i4>0</vt:i4>
      </vt:variant>
      <vt:variant>
        <vt:i4>5</vt:i4>
      </vt:variant>
      <vt:variant>
        <vt:lpwstr/>
      </vt:variant>
      <vt:variant>
        <vt:lpwstr>_Toc145689577</vt:lpwstr>
      </vt:variant>
      <vt:variant>
        <vt:i4>1769529</vt:i4>
      </vt:variant>
      <vt:variant>
        <vt:i4>56</vt:i4>
      </vt:variant>
      <vt:variant>
        <vt:i4>0</vt:i4>
      </vt:variant>
      <vt:variant>
        <vt:i4>5</vt:i4>
      </vt:variant>
      <vt:variant>
        <vt:lpwstr/>
      </vt:variant>
      <vt:variant>
        <vt:lpwstr>_Toc145689576</vt:lpwstr>
      </vt:variant>
      <vt:variant>
        <vt:i4>1769529</vt:i4>
      </vt:variant>
      <vt:variant>
        <vt:i4>50</vt:i4>
      </vt:variant>
      <vt:variant>
        <vt:i4>0</vt:i4>
      </vt:variant>
      <vt:variant>
        <vt:i4>5</vt:i4>
      </vt:variant>
      <vt:variant>
        <vt:lpwstr/>
      </vt:variant>
      <vt:variant>
        <vt:lpwstr>_Toc145689575</vt:lpwstr>
      </vt:variant>
      <vt:variant>
        <vt:i4>1769529</vt:i4>
      </vt:variant>
      <vt:variant>
        <vt:i4>44</vt:i4>
      </vt:variant>
      <vt:variant>
        <vt:i4>0</vt:i4>
      </vt:variant>
      <vt:variant>
        <vt:i4>5</vt:i4>
      </vt:variant>
      <vt:variant>
        <vt:lpwstr/>
      </vt:variant>
      <vt:variant>
        <vt:lpwstr>_Toc145689574</vt:lpwstr>
      </vt:variant>
      <vt:variant>
        <vt:i4>1769529</vt:i4>
      </vt:variant>
      <vt:variant>
        <vt:i4>38</vt:i4>
      </vt:variant>
      <vt:variant>
        <vt:i4>0</vt:i4>
      </vt:variant>
      <vt:variant>
        <vt:i4>5</vt:i4>
      </vt:variant>
      <vt:variant>
        <vt:lpwstr/>
      </vt:variant>
      <vt:variant>
        <vt:lpwstr>_Toc145689573</vt:lpwstr>
      </vt:variant>
      <vt:variant>
        <vt:i4>1769529</vt:i4>
      </vt:variant>
      <vt:variant>
        <vt:i4>32</vt:i4>
      </vt:variant>
      <vt:variant>
        <vt:i4>0</vt:i4>
      </vt:variant>
      <vt:variant>
        <vt:i4>5</vt:i4>
      </vt:variant>
      <vt:variant>
        <vt:lpwstr/>
      </vt:variant>
      <vt:variant>
        <vt:lpwstr>_Toc145689572</vt:lpwstr>
      </vt:variant>
      <vt:variant>
        <vt:i4>1769529</vt:i4>
      </vt:variant>
      <vt:variant>
        <vt:i4>26</vt:i4>
      </vt:variant>
      <vt:variant>
        <vt:i4>0</vt:i4>
      </vt:variant>
      <vt:variant>
        <vt:i4>5</vt:i4>
      </vt:variant>
      <vt:variant>
        <vt:lpwstr/>
      </vt:variant>
      <vt:variant>
        <vt:lpwstr>_Toc145689571</vt:lpwstr>
      </vt:variant>
      <vt:variant>
        <vt:i4>1769529</vt:i4>
      </vt:variant>
      <vt:variant>
        <vt:i4>20</vt:i4>
      </vt:variant>
      <vt:variant>
        <vt:i4>0</vt:i4>
      </vt:variant>
      <vt:variant>
        <vt:i4>5</vt:i4>
      </vt:variant>
      <vt:variant>
        <vt:lpwstr/>
      </vt:variant>
      <vt:variant>
        <vt:lpwstr>_Toc145689570</vt:lpwstr>
      </vt:variant>
      <vt:variant>
        <vt:i4>1703993</vt:i4>
      </vt:variant>
      <vt:variant>
        <vt:i4>14</vt:i4>
      </vt:variant>
      <vt:variant>
        <vt:i4>0</vt:i4>
      </vt:variant>
      <vt:variant>
        <vt:i4>5</vt:i4>
      </vt:variant>
      <vt:variant>
        <vt:lpwstr/>
      </vt:variant>
      <vt:variant>
        <vt:lpwstr>_Toc145689569</vt:lpwstr>
      </vt:variant>
      <vt:variant>
        <vt:i4>1703993</vt:i4>
      </vt:variant>
      <vt:variant>
        <vt:i4>8</vt:i4>
      </vt:variant>
      <vt:variant>
        <vt:i4>0</vt:i4>
      </vt:variant>
      <vt:variant>
        <vt:i4>5</vt:i4>
      </vt:variant>
      <vt:variant>
        <vt:lpwstr/>
      </vt:variant>
      <vt:variant>
        <vt:lpwstr>_Toc145689568</vt:lpwstr>
      </vt:variant>
      <vt:variant>
        <vt:i4>1703993</vt:i4>
      </vt:variant>
      <vt:variant>
        <vt:i4>2</vt:i4>
      </vt:variant>
      <vt:variant>
        <vt:i4>0</vt:i4>
      </vt:variant>
      <vt:variant>
        <vt:i4>5</vt:i4>
      </vt:variant>
      <vt:variant>
        <vt:lpwstr/>
      </vt:variant>
      <vt:variant>
        <vt:lpwstr>_Toc145689567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2 Resource – Annual Status Report 2022–2023</dc:title>
  <dc:subject/>
  <dc:creator/>
  <cp:keywords/>
  <dc:description/>
  <cp:lastModifiedBy/>
  <cp:revision>1</cp:revision>
  <dcterms:created xsi:type="dcterms:W3CDTF">2023-11-09T22:26:00Z</dcterms:created>
  <dcterms:modified xsi:type="dcterms:W3CDTF">2023-11-09T22:26:00Z</dcterms:modified>
</cp:coreProperties>
</file>