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3506" w14:textId="01023B73" w:rsidR="008113E9" w:rsidRPr="008113E9" w:rsidRDefault="0027299F" w:rsidP="00646A31">
      <w:pPr>
        <w:pStyle w:val="Title"/>
        <w:numPr>
          <w:ilvl w:val="0"/>
          <w:numId w:val="0"/>
        </w:numPr>
      </w:pPr>
      <w:bookmarkStart w:id="0" w:name="_Toc215151592"/>
      <w:r>
        <w:t>Naming of Infrastructure Policy</w:t>
      </w:r>
      <w:bookmarkEnd w:id="0"/>
    </w:p>
    <w:p w14:paraId="1FFDFCD3" w14:textId="6659D2D6" w:rsidR="008113E9" w:rsidRDefault="000E1CFC" w:rsidP="00E53EB4">
      <w:pPr>
        <w:pStyle w:val="Subtitle"/>
        <w:spacing w:after="120" w:line="300" w:lineRule="atLeast"/>
        <w:sectPr w:rsidR="008113E9" w:rsidSect="008113E9">
          <w:footerReference w:type="default" r:id="rId8"/>
          <w:headerReference w:type="first" r:id="rId9"/>
          <w:pgSz w:w="11906" w:h="16838" w:code="9"/>
          <w:pgMar w:top="12049" w:right="1418" w:bottom="1843" w:left="1418" w:header="567" w:footer="567" w:gutter="0"/>
          <w:pgNumType w:start="0"/>
          <w:cols w:space="708"/>
          <w:titlePg/>
          <w:docGrid w:linePitch="360"/>
        </w:sectPr>
      </w:pPr>
      <w:r>
        <w:t>June</w:t>
      </w:r>
      <w:r w:rsidR="0027299F">
        <w:t xml:space="preserve"> 202</w:t>
      </w:r>
      <w:r w:rsidR="009770F1">
        <w:t>6</w:t>
      </w:r>
    </w:p>
    <w:p w14:paraId="6DD8F5BA" w14:textId="77777777" w:rsidR="008113E9" w:rsidRPr="00092BB5" w:rsidRDefault="008113E9" w:rsidP="00981F3A">
      <w:pPr>
        <w:rPr>
          <w:b/>
          <w:bCs/>
        </w:rPr>
      </w:pPr>
      <w:r w:rsidRPr="00092BB5">
        <w:rPr>
          <w:b/>
          <w:bCs/>
        </w:rPr>
        <w:lastRenderedPageBreak/>
        <w:t>Translating and interpreting assistance</w:t>
      </w:r>
    </w:p>
    <w:p w14:paraId="3757E0EC" w14:textId="77777777" w:rsidR="008113E9" w:rsidRDefault="008113E9" w:rsidP="00981F3A">
      <w: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Government (Department of Transport and Main Roads) on 13 74 68.</w:t>
      </w:r>
    </w:p>
    <w:p w14:paraId="415C9D6B" w14:textId="77777777" w:rsidR="008113E9" w:rsidRPr="00092BB5" w:rsidRDefault="008113E9" w:rsidP="00981F3A">
      <w:pPr>
        <w:rPr>
          <w:b/>
          <w:bCs/>
        </w:rPr>
      </w:pPr>
      <w:r w:rsidRPr="00092BB5">
        <w:rPr>
          <w:b/>
          <w:bCs/>
        </w:rPr>
        <w:t xml:space="preserve">Copyright </w:t>
      </w:r>
    </w:p>
    <w:p w14:paraId="190FE9FD" w14:textId="77777777" w:rsidR="008113E9" w:rsidRDefault="008113E9" w:rsidP="00981F3A">
      <w:r>
        <w:t>This publication is protected by the Copyright Act 1968. © The State of Queensland, 2025.</w:t>
      </w:r>
    </w:p>
    <w:p w14:paraId="129059C4" w14:textId="77777777" w:rsidR="008113E9" w:rsidRPr="00092BB5" w:rsidRDefault="008113E9" w:rsidP="00981F3A">
      <w:pPr>
        <w:rPr>
          <w:b/>
          <w:bCs/>
        </w:rPr>
      </w:pPr>
      <w:r w:rsidRPr="00092BB5">
        <w:rPr>
          <w:b/>
          <w:bCs/>
        </w:rPr>
        <w:t>Disclaimer</w:t>
      </w:r>
    </w:p>
    <w:p w14:paraId="46D07949" w14:textId="77777777" w:rsidR="008113E9" w:rsidRDefault="008113E9" w:rsidP="00981F3A">
      <w:pPr>
        <w:sectPr w:rsidR="008113E9" w:rsidSect="008113E9">
          <w:headerReference w:type="first" r:id="rId10"/>
          <w:footerReference w:type="first" r:id="rId11"/>
          <w:pgSz w:w="11906" w:h="16838" w:code="9"/>
          <w:pgMar w:top="1135" w:right="1418" w:bottom="1843" w:left="1418" w:header="567" w:footer="567" w:gutter="0"/>
          <w:cols w:space="708"/>
          <w:titlePg/>
          <w:docGrid w:linePitch="360"/>
        </w:sectPr>
      </w:pPr>
      <w:r>
        <w:t>While every care has been taken in preparing this publication, to the extent permitted by law, the State of Queensland accepts no responsibility and disclaims all liability (including without limitation, liability in negligence) for all expenses, losses (including direct and indirect loss), damages and costs incurred as a result of decisions or actions taken as a result of any data, information, statement or advice, expressed or implied, contained within. To the best of our knowledge, the content was correct at the time of publishing.</w:t>
      </w:r>
      <w:permStart w:id="1760047980" w:edGrp="everyone"/>
      <w:permEnd w:id="1760047980"/>
    </w:p>
    <w:sdt>
      <w:sdtPr>
        <w:rPr>
          <w:rFonts w:eastAsiaTheme="minorEastAsia" w:cstheme="minorBidi"/>
          <w:color w:val="2F2F2F" w:themeColor="text1" w:themeTint="E6"/>
          <w:sz w:val="24"/>
          <w:szCs w:val="24"/>
        </w:rPr>
        <w:id w:val="-2102864559"/>
        <w:docPartObj>
          <w:docPartGallery w:val="Table of Contents"/>
          <w:docPartUnique/>
        </w:docPartObj>
      </w:sdtPr>
      <w:sdtEndPr>
        <w:rPr>
          <w:b/>
          <w:bCs/>
          <w:noProof/>
          <w:color w:val="191919" w:themeColor="text1"/>
        </w:rPr>
      </w:sdtEndPr>
      <w:sdtContent>
        <w:p w14:paraId="74668836" w14:textId="77777777" w:rsidR="00B07A54" w:rsidRDefault="008113E9" w:rsidP="00646A31">
          <w:pPr>
            <w:pStyle w:val="TOCHeading"/>
            <w:numPr>
              <w:ilvl w:val="0"/>
              <w:numId w:val="0"/>
            </w:numPr>
            <w:rPr>
              <w:noProof/>
            </w:rPr>
          </w:pPr>
          <w:r>
            <w:t>Contents</w:t>
          </w:r>
          <w:r>
            <w:fldChar w:fldCharType="begin"/>
          </w:r>
          <w:r>
            <w:instrText xml:space="preserve"> TOC \o "1-3" \h \z \u </w:instrText>
          </w:r>
          <w:r>
            <w:fldChar w:fldCharType="separate"/>
          </w:r>
        </w:p>
        <w:p w14:paraId="201D4493" w14:textId="67503DE7"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593" w:history="1">
            <w:r w:rsidRPr="00C75CB3">
              <w:rPr>
                <w:rStyle w:val="Hyperlink"/>
                <w:noProof/>
              </w:rPr>
              <w:t>1</w:t>
            </w:r>
            <w:r>
              <w:rPr>
                <w:rFonts w:asciiTheme="minorHAnsi" w:eastAsiaTheme="minorEastAsia" w:hAnsiTheme="minorHAnsi"/>
                <w:noProof/>
                <w:color w:val="auto"/>
                <w:kern w:val="2"/>
                <w:szCs w:val="24"/>
                <w:lang w:eastAsia="en-AU"/>
                <w14:ligatures w14:val="standardContextual"/>
              </w:rPr>
              <w:tab/>
            </w:r>
            <w:r w:rsidRPr="00C75CB3">
              <w:rPr>
                <w:rStyle w:val="Hyperlink"/>
                <w:noProof/>
              </w:rPr>
              <w:t xml:space="preserve">Policy statement </w:t>
            </w:r>
            <w:r>
              <w:rPr>
                <w:noProof/>
                <w:webHidden/>
              </w:rPr>
              <w:tab/>
            </w:r>
            <w:r>
              <w:rPr>
                <w:noProof/>
                <w:webHidden/>
              </w:rPr>
              <w:fldChar w:fldCharType="begin"/>
            </w:r>
            <w:r>
              <w:rPr>
                <w:noProof/>
                <w:webHidden/>
              </w:rPr>
              <w:instrText xml:space="preserve"> PAGEREF _Toc215151593 \h </w:instrText>
            </w:r>
            <w:r>
              <w:rPr>
                <w:noProof/>
                <w:webHidden/>
              </w:rPr>
            </w:r>
            <w:r>
              <w:rPr>
                <w:noProof/>
                <w:webHidden/>
              </w:rPr>
              <w:fldChar w:fldCharType="separate"/>
            </w:r>
            <w:r w:rsidR="004C0DE4">
              <w:rPr>
                <w:noProof/>
                <w:webHidden/>
              </w:rPr>
              <w:t>3</w:t>
            </w:r>
            <w:r>
              <w:rPr>
                <w:noProof/>
                <w:webHidden/>
              </w:rPr>
              <w:fldChar w:fldCharType="end"/>
            </w:r>
          </w:hyperlink>
        </w:p>
        <w:p w14:paraId="1DDC8A87" w14:textId="1B569423"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594" w:history="1">
            <w:r w:rsidRPr="00C75CB3">
              <w:rPr>
                <w:rStyle w:val="Hyperlink"/>
                <w:noProof/>
              </w:rPr>
              <w:t>1.1</w:t>
            </w:r>
            <w:r>
              <w:rPr>
                <w:rFonts w:asciiTheme="minorHAnsi" w:eastAsiaTheme="minorEastAsia" w:hAnsiTheme="minorHAnsi"/>
                <w:noProof/>
                <w:color w:val="auto"/>
                <w:kern w:val="2"/>
                <w:szCs w:val="24"/>
                <w:lang w:eastAsia="en-AU"/>
                <w14:ligatures w14:val="standardContextual"/>
              </w:rPr>
              <w:tab/>
            </w:r>
            <w:r w:rsidRPr="00C75CB3">
              <w:rPr>
                <w:rStyle w:val="Hyperlink"/>
                <w:noProof/>
              </w:rPr>
              <w:t>Policy principles</w:t>
            </w:r>
            <w:r>
              <w:rPr>
                <w:noProof/>
                <w:webHidden/>
              </w:rPr>
              <w:tab/>
            </w:r>
            <w:r>
              <w:rPr>
                <w:noProof/>
                <w:webHidden/>
              </w:rPr>
              <w:fldChar w:fldCharType="begin"/>
            </w:r>
            <w:r>
              <w:rPr>
                <w:noProof/>
                <w:webHidden/>
              </w:rPr>
              <w:instrText xml:space="preserve"> PAGEREF _Toc215151594 \h </w:instrText>
            </w:r>
            <w:r>
              <w:rPr>
                <w:noProof/>
                <w:webHidden/>
              </w:rPr>
            </w:r>
            <w:r>
              <w:rPr>
                <w:noProof/>
                <w:webHidden/>
              </w:rPr>
              <w:fldChar w:fldCharType="separate"/>
            </w:r>
            <w:r w:rsidR="004C0DE4">
              <w:rPr>
                <w:noProof/>
                <w:webHidden/>
              </w:rPr>
              <w:t>3</w:t>
            </w:r>
            <w:r>
              <w:rPr>
                <w:noProof/>
                <w:webHidden/>
              </w:rPr>
              <w:fldChar w:fldCharType="end"/>
            </w:r>
          </w:hyperlink>
        </w:p>
        <w:p w14:paraId="30BB2FB1" w14:textId="6C020218"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595" w:history="1">
            <w:r w:rsidRPr="00C75CB3">
              <w:rPr>
                <w:rStyle w:val="Hyperlink"/>
                <w:noProof/>
              </w:rPr>
              <w:t>1.2</w:t>
            </w:r>
            <w:r>
              <w:rPr>
                <w:rFonts w:asciiTheme="minorHAnsi" w:eastAsiaTheme="minorEastAsia" w:hAnsiTheme="minorHAnsi"/>
                <w:noProof/>
                <w:color w:val="auto"/>
                <w:kern w:val="2"/>
                <w:szCs w:val="24"/>
                <w:lang w:eastAsia="en-AU"/>
                <w14:ligatures w14:val="standardContextual"/>
              </w:rPr>
              <w:tab/>
            </w:r>
            <w:r w:rsidRPr="00C75CB3">
              <w:rPr>
                <w:rStyle w:val="Hyperlink"/>
                <w:noProof/>
              </w:rPr>
              <w:t>Scope</w:t>
            </w:r>
            <w:r>
              <w:rPr>
                <w:noProof/>
                <w:webHidden/>
              </w:rPr>
              <w:tab/>
            </w:r>
            <w:r>
              <w:rPr>
                <w:noProof/>
                <w:webHidden/>
              </w:rPr>
              <w:fldChar w:fldCharType="begin"/>
            </w:r>
            <w:r>
              <w:rPr>
                <w:noProof/>
                <w:webHidden/>
              </w:rPr>
              <w:instrText xml:space="preserve"> PAGEREF _Toc215151595 \h </w:instrText>
            </w:r>
            <w:r>
              <w:rPr>
                <w:noProof/>
                <w:webHidden/>
              </w:rPr>
            </w:r>
            <w:r>
              <w:rPr>
                <w:noProof/>
                <w:webHidden/>
              </w:rPr>
              <w:fldChar w:fldCharType="separate"/>
            </w:r>
            <w:r w:rsidR="004C0DE4">
              <w:rPr>
                <w:noProof/>
                <w:webHidden/>
              </w:rPr>
              <w:t>3</w:t>
            </w:r>
            <w:r>
              <w:rPr>
                <w:noProof/>
                <w:webHidden/>
              </w:rPr>
              <w:fldChar w:fldCharType="end"/>
            </w:r>
          </w:hyperlink>
        </w:p>
        <w:p w14:paraId="18215A31" w14:textId="2D819D4F" w:rsidR="00B07A54" w:rsidRPr="00097328" w:rsidRDefault="00097328" w:rsidP="005D02D4">
          <w:pPr>
            <w:pStyle w:val="TOC3"/>
            <w:rPr>
              <w:rFonts w:asciiTheme="minorHAnsi" w:eastAsiaTheme="minorEastAsia" w:hAnsiTheme="minorHAnsi"/>
              <w:color w:val="auto"/>
              <w:kern w:val="2"/>
              <w:szCs w:val="24"/>
              <w:lang w:eastAsia="en-AU"/>
              <w14:ligatures w14:val="standardContextual"/>
            </w:rPr>
          </w:pPr>
          <w:hyperlink w:anchor="_Toc215151596" w:history="1">
            <w:r>
              <w:rPr>
                <w:rStyle w:val="Hyperlink"/>
                <w:iCs w:val="0"/>
              </w:rPr>
              <w:t>1.</w:t>
            </w:r>
            <w:r w:rsidR="00B07A54" w:rsidRPr="00097328">
              <w:rPr>
                <w:rStyle w:val="Hyperlink"/>
                <w:iCs w:val="0"/>
              </w:rPr>
              <w:t>2.1</w:t>
            </w:r>
            <w:r w:rsidR="00B07A54" w:rsidRPr="00097328">
              <w:rPr>
                <w:rFonts w:asciiTheme="minorHAnsi" w:eastAsiaTheme="minorEastAsia" w:hAnsiTheme="minorHAnsi"/>
                <w:color w:val="auto"/>
                <w:kern w:val="2"/>
                <w:szCs w:val="24"/>
                <w:lang w:eastAsia="en-AU"/>
                <w14:ligatures w14:val="standardContextual"/>
              </w:rPr>
              <w:tab/>
            </w:r>
            <w:r w:rsidR="00B07A54" w:rsidRPr="00097328">
              <w:rPr>
                <w:rStyle w:val="Hyperlink"/>
                <w:iCs w:val="0"/>
              </w:rPr>
              <w:t>In Scop</w:t>
            </w:r>
            <w:r>
              <w:rPr>
                <w:rStyle w:val="Hyperlink"/>
                <w:iCs w:val="0"/>
              </w:rPr>
              <w:t>e</w:t>
            </w:r>
            <w:r w:rsidR="00B07A54" w:rsidRPr="00097328">
              <w:rPr>
                <w:webHidden/>
              </w:rPr>
              <w:tab/>
            </w:r>
            <w:r w:rsidR="00B07A54" w:rsidRPr="00097328">
              <w:rPr>
                <w:webHidden/>
              </w:rPr>
              <w:fldChar w:fldCharType="begin"/>
            </w:r>
            <w:r w:rsidR="00B07A54" w:rsidRPr="00097328">
              <w:rPr>
                <w:webHidden/>
              </w:rPr>
              <w:instrText xml:space="preserve"> PAGEREF _Toc215151596 \h </w:instrText>
            </w:r>
            <w:r w:rsidR="00B07A54" w:rsidRPr="00097328">
              <w:rPr>
                <w:webHidden/>
              </w:rPr>
            </w:r>
            <w:r w:rsidR="00B07A54" w:rsidRPr="00097328">
              <w:rPr>
                <w:webHidden/>
              </w:rPr>
              <w:fldChar w:fldCharType="separate"/>
            </w:r>
            <w:r w:rsidR="004C0DE4">
              <w:rPr>
                <w:webHidden/>
              </w:rPr>
              <w:t>3</w:t>
            </w:r>
            <w:r w:rsidR="00B07A54" w:rsidRPr="00097328">
              <w:rPr>
                <w:webHidden/>
              </w:rPr>
              <w:fldChar w:fldCharType="end"/>
            </w:r>
          </w:hyperlink>
        </w:p>
        <w:p w14:paraId="528DC8D1" w14:textId="28D5F81D" w:rsidR="00B07A54" w:rsidRPr="00097328" w:rsidRDefault="00097328" w:rsidP="005D02D4">
          <w:pPr>
            <w:pStyle w:val="TOC3"/>
            <w:rPr>
              <w:rFonts w:asciiTheme="minorHAnsi" w:eastAsiaTheme="minorEastAsia" w:hAnsiTheme="minorHAnsi"/>
              <w:color w:val="auto"/>
              <w:kern w:val="2"/>
              <w:szCs w:val="24"/>
              <w:lang w:eastAsia="en-AU"/>
              <w14:ligatures w14:val="standardContextual"/>
            </w:rPr>
          </w:pPr>
          <w:hyperlink w:anchor="_Toc215151597" w:history="1">
            <w:r>
              <w:rPr>
                <w:rStyle w:val="Hyperlink"/>
                <w:iCs w:val="0"/>
              </w:rPr>
              <w:t>1.2.2</w:t>
            </w:r>
            <w:r w:rsidR="00B07A54" w:rsidRPr="00097328">
              <w:rPr>
                <w:rFonts w:asciiTheme="minorHAnsi" w:eastAsiaTheme="minorEastAsia" w:hAnsiTheme="minorHAnsi"/>
                <w:color w:val="auto"/>
                <w:kern w:val="2"/>
                <w:szCs w:val="24"/>
                <w:lang w:eastAsia="en-AU"/>
                <w14:ligatures w14:val="standardContextual"/>
              </w:rPr>
              <w:tab/>
            </w:r>
            <w:r w:rsidR="00B07A54" w:rsidRPr="00097328">
              <w:rPr>
                <w:rStyle w:val="Hyperlink"/>
                <w:iCs w:val="0"/>
              </w:rPr>
              <w:t>Out of scope</w:t>
            </w:r>
            <w:r w:rsidR="00B07A54" w:rsidRPr="00097328">
              <w:rPr>
                <w:webHidden/>
              </w:rPr>
              <w:tab/>
            </w:r>
            <w:r w:rsidR="00B07A54" w:rsidRPr="00097328">
              <w:rPr>
                <w:webHidden/>
              </w:rPr>
              <w:fldChar w:fldCharType="begin"/>
            </w:r>
            <w:r w:rsidR="00B07A54" w:rsidRPr="00097328">
              <w:rPr>
                <w:webHidden/>
              </w:rPr>
              <w:instrText xml:space="preserve"> PAGEREF _Toc215151597 \h </w:instrText>
            </w:r>
            <w:r w:rsidR="00B07A54" w:rsidRPr="00097328">
              <w:rPr>
                <w:webHidden/>
              </w:rPr>
            </w:r>
            <w:r w:rsidR="00B07A54" w:rsidRPr="00097328">
              <w:rPr>
                <w:webHidden/>
              </w:rPr>
              <w:fldChar w:fldCharType="separate"/>
            </w:r>
            <w:r w:rsidR="004C0DE4">
              <w:rPr>
                <w:webHidden/>
              </w:rPr>
              <w:t>4</w:t>
            </w:r>
            <w:r w:rsidR="00B07A54" w:rsidRPr="00097328">
              <w:rPr>
                <w:webHidden/>
              </w:rPr>
              <w:fldChar w:fldCharType="end"/>
            </w:r>
          </w:hyperlink>
        </w:p>
        <w:p w14:paraId="245DCA8D" w14:textId="09ED23F2"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598" w:history="1">
            <w:r w:rsidRPr="00C75CB3">
              <w:rPr>
                <w:rStyle w:val="Hyperlink"/>
                <w:noProof/>
              </w:rPr>
              <w:t>1.3</w:t>
            </w:r>
            <w:r>
              <w:rPr>
                <w:rFonts w:asciiTheme="minorHAnsi" w:eastAsiaTheme="minorEastAsia" w:hAnsiTheme="minorHAnsi"/>
                <w:noProof/>
                <w:color w:val="auto"/>
                <w:kern w:val="2"/>
                <w:szCs w:val="24"/>
                <w:lang w:eastAsia="en-AU"/>
                <w14:ligatures w14:val="standardContextual"/>
              </w:rPr>
              <w:tab/>
            </w:r>
            <w:r w:rsidRPr="00C75CB3">
              <w:rPr>
                <w:rStyle w:val="Hyperlink"/>
                <w:noProof/>
              </w:rPr>
              <w:t>Legislative head of power</w:t>
            </w:r>
            <w:r>
              <w:rPr>
                <w:noProof/>
                <w:webHidden/>
              </w:rPr>
              <w:tab/>
            </w:r>
            <w:r>
              <w:rPr>
                <w:noProof/>
                <w:webHidden/>
              </w:rPr>
              <w:fldChar w:fldCharType="begin"/>
            </w:r>
            <w:r>
              <w:rPr>
                <w:noProof/>
                <w:webHidden/>
              </w:rPr>
              <w:instrText xml:space="preserve"> PAGEREF _Toc215151598 \h </w:instrText>
            </w:r>
            <w:r>
              <w:rPr>
                <w:noProof/>
                <w:webHidden/>
              </w:rPr>
            </w:r>
            <w:r>
              <w:rPr>
                <w:noProof/>
                <w:webHidden/>
              </w:rPr>
              <w:fldChar w:fldCharType="separate"/>
            </w:r>
            <w:r w:rsidR="004C0DE4">
              <w:rPr>
                <w:noProof/>
                <w:webHidden/>
              </w:rPr>
              <w:t>4</w:t>
            </w:r>
            <w:r>
              <w:rPr>
                <w:noProof/>
                <w:webHidden/>
              </w:rPr>
              <w:fldChar w:fldCharType="end"/>
            </w:r>
          </w:hyperlink>
        </w:p>
        <w:p w14:paraId="3D3047C8" w14:textId="39D3B84E" w:rsidR="00B07A54" w:rsidRPr="00097328" w:rsidRDefault="005D02D4" w:rsidP="005D02D4">
          <w:pPr>
            <w:pStyle w:val="TOC3"/>
            <w:rPr>
              <w:rFonts w:asciiTheme="minorHAnsi" w:eastAsiaTheme="minorEastAsia" w:hAnsiTheme="minorHAnsi"/>
              <w:color w:val="auto"/>
              <w:kern w:val="2"/>
              <w:szCs w:val="24"/>
              <w:lang w:eastAsia="en-AU"/>
              <w14:ligatures w14:val="standardContextual"/>
            </w:rPr>
          </w:pPr>
          <w:hyperlink w:anchor="_Toc215151599" w:history="1">
            <w:r w:rsidRPr="005D02D4">
              <w:rPr>
                <w:rStyle w:val="Hyperlink"/>
                <w:iCs w:val="0"/>
              </w:rPr>
              <w:t>1</w:t>
            </w:r>
            <w:r>
              <w:rPr>
                <w:rStyle w:val="Hyperlink"/>
                <w:iCs w:val="0"/>
              </w:rPr>
              <w:t>.3</w:t>
            </w:r>
            <w:r w:rsidR="00B07A54" w:rsidRPr="005D02D4">
              <w:rPr>
                <w:rStyle w:val="Hyperlink"/>
                <w:iCs w:val="0"/>
              </w:rPr>
              <w:t>.1</w:t>
            </w:r>
            <w:r w:rsidR="00B07A54" w:rsidRPr="005D02D4">
              <w:rPr>
                <w:rFonts w:asciiTheme="minorHAnsi" w:eastAsiaTheme="minorEastAsia" w:hAnsiTheme="minorHAnsi"/>
                <w:color w:val="auto"/>
                <w:kern w:val="2"/>
                <w:szCs w:val="24"/>
                <w:lang w:eastAsia="en-AU"/>
                <w14:ligatures w14:val="standardContextual"/>
              </w:rPr>
              <w:tab/>
            </w:r>
            <w:r w:rsidR="00B07A54" w:rsidRPr="005D02D4">
              <w:rPr>
                <w:rStyle w:val="Hyperlink"/>
                <w:iCs w:val="0"/>
              </w:rPr>
              <w:t>Other legislation and policies</w:t>
            </w:r>
            <w:r w:rsidR="00B07A54" w:rsidRPr="00097328">
              <w:rPr>
                <w:webHidden/>
              </w:rPr>
              <w:tab/>
            </w:r>
            <w:r w:rsidR="00B07A54" w:rsidRPr="00097328">
              <w:rPr>
                <w:webHidden/>
              </w:rPr>
              <w:fldChar w:fldCharType="begin"/>
            </w:r>
            <w:r w:rsidR="00B07A54" w:rsidRPr="00097328">
              <w:rPr>
                <w:webHidden/>
              </w:rPr>
              <w:instrText xml:space="preserve"> PAGEREF _Toc215151599 \h </w:instrText>
            </w:r>
            <w:r w:rsidR="00B07A54" w:rsidRPr="00097328">
              <w:rPr>
                <w:webHidden/>
              </w:rPr>
            </w:r>
            <w:r w:rsidR="00B07A54" w:rsidRPr="00097328">
              <w:rPr>
                <w:webHidden/>
              </w:rPr>
              <w:fldChar w:fldCharType="separate"/>
            </w:r>
            <w:r w:rsidR="004C0DE4">
              <w:rPr>
                <w:webHidden/>
              </w:rPr>
              <w:t>4</w:t>
            </w:r>
            <w:r w:rsidR="00B07A54" w:rsidRPr="00097328">
              <w:rPr>
                <w:webHidden/>
              </w:rPr>
              <w:fldChar w:fldCharType="end"/>
            </w:r>
          </w:hyperlink>
        </w:p>
        <w:p w14:paraId="003EA538" w14:textId="14B593B9"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00" w:history="1">
            <w:r w:rsidRPr="00C75CB3">
              <w:rPr>
                <w:rStyle w:val="Hyperlink"/>
                <w:noProof/>
              </w:rPr>
              <w:t>2</w:t>
            </w:r>
            <w:r>
              <w:rPr>
                <w:rFonts w:asciiTheme="minorHAnsi" w:eastAsiaTheme="minorEastAsia" w:hAnsiTheme="minorHAnsi"/>
                <w:noProof/>
                <w:color w:val="auto"/>
                <w:kern w:val="2"/>
                <w:szCs w:val="24"/>
                <w:lang w:eastAsia="en-AU"/>
                <w14:ligatures w14:val="standardContextual"/>
              </w:rPr>
              <w:tab/>
            </w:r>
            <w:r w:rsidRPr="00C75CB3">
              <w:rPr>
                <w:rStyle w:val="Hyperlink"/>
                <w:noProof/>
              </w:rPr>
              <w:t>Context</w:t>
            </w:r>
            <w:r>
              <w:rPr>
                <w:noProof/>
                <w:webHidden/>
              </w:rPr>
              <w:tab/>
            </w:r>
            <w:r>
              <w:rPr>
                <w:noProof/>
                <w:webHidden/>
              </w:rPr>
              <w:fldChar w:fldCharType="begin"/>
            </w:r>
            <w:r>
              <w:rPr>
                <w:noProof/>
                <w:webHidden/>
              </w:rPr>
              <w:instrText xml:space="preserve"> PAGEREF _Toc215151600 \h </w:instrText>
            </w:r>
            <w:r>
              <w:rPr>
                <w:noProof/>
                <w:webHidden/>
              </w:rPr>
            </w:r>
            <w:r>
              <w:rPr>
                <w:noProof/>
                <w:webHidden/>
              </w:rPr>
              <w:fldChar w:fldCharType="separate"/>
            </w:r>
            <w:r w:rsidR="004C0DE4">
              <w:rPr>
                <w:noProof/>
                <w:webHidden/>
              </w:rPr>
              <w:t>5</w:t>
            </w:r>
            <w:r>
              <w:rPr>
                <w:noProof/>
                <w:webHidden/>
              </w:rPr>
              <w:fldChar w:fldCharType="end"/>
            </w:r>
          </w:hyperlink>
        </w:p>
        <w:p w14:paraId="7E54F57C" w14:textId="7637CF45"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1" w:history="1">
            <w:r w:rsidRPr="00C75CB3">
              <w:rPr>
                <w:rStyle w:val="Hyperlink"/>
                <w:noProof/>
              </w:rPr>
              <w:t>2.1</w:t>
            </w:r>
            <w:r>
              <w:rPr>
                <w:rFonts w:asciiTheme="minorHAnsi" w:eastAsiaTheme="minorEastAsia" w:hAnsiTheme="minorHAnsi"/>
                <w:noProof/>
                <w:color w:val="auto"/>
                <w:kern w:val="2"/>
                <w:szCs w:val="24"/>
                <w:lang w:eastAsia="en-AU"/>
                <w14:ligatures w14:val="standardContextual"/>
              </w:rPr>
              <w:tab/>
            </w:r>
            <w:r w:rsidRPr="00C75CB3">
              <w:rPr>
                <w:rStyle w:val="Hyperlink"/>
                <w:noProof/>
              </w:rPr>
              <w:t>Purpose</w:t>
            </w:r>
            <w:r>
              <w:rPr>
                <w:noProof/>
                <w:webHidden/>
              </w:rPr>
              <w:tab/>
            </w:r>
            <w:r>
              <w:rPr>
                <w:noProof/>
                <w:webHidden/>
              </w:rPr>
              <w:fldChar w:fldCharType="begin"/>
            </w:r>
            <w:r>
              <w:rPr>
                <w:noProof/>
                <w:webHidden/>
              </w:rPr>
              <w:instrText xml:space="preserve"> PAGEREF _Toc215151601 \h </w:instrText>
            </w:r>
            <w:r>
              <w:rPr>
                <w:noProof/>
                <w:webHidden/>
              </w:rPr>
            </w:r>
            <w:r>
              <w:rPr>
                <w:noProof/>
                <w:webHidden/>
              </w:rPr>
              <w:fldChar w:fldCharType="separate"/>
            </w:r>
            <w:r w:rsidR="004C0DE4">
              <w:rPr>
                <w:noProof/>
                <w:webHidden/>
              </w:rPr>
              <w:t>5</w:t>
            </w:r>
            <w:r>
              <w:rPr>
                <w:noProof/>
                <w:webHidden/>
              </w:rPr>
              <w:fldChar w:fldCharType="end"/>
            </w:r>
          </w:hyperlink>
        </w:p>
        <w:p w14:paraId="1C5A9355" w14:textId="5D5A4AAE"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2" w:history="1">
            <w:r w:rsidRPr="00C75CB3">
              <w:rPr>
                <w:rStyle w:val="Hyperlink"/>
                <w:noProof/>
              </w:rPr>
              <w:t>2.2</w:t>
            </w:r>
            <w:r>
              <w:rPr>
                <w:rFonts w:asciiTheme="minorHAnsi" w:eastAsiaTheme="minorEastAsia" w:hAnsiTheme="minorHAnsi"/>
                <w:noProof/>
                <w:color w:val="auto"/>
                <w:kern w:val="2"/>
                <w:szCs w:val="24"/>
                <w:lang w:eastAsia="en-AU"/>
                <w14:ligatures w14:val="standardContextual"/>
              </w:rPr>
              <w:tab/>
            </w:r>
            <w:r w:rsidRPr="00C75CB3">
              <w:rPr>
                <w:rStyle w:val="Hyperlink"/>
                <w:noProof/>
              </w:rPr>
              <w:t>Background</w:t>
            </w:r>
            <w:r>
              <w:rPr>
                <w:noProof/>
                <w:webHidden/>
              </w:rPr>
              <w:tab/>
            </w:r>
            <w:r>
              <w:rPr>
                <w:noProof/>
                <w:webHidden/>
              </w:rPr>
              <w:fldChar w:fldCharType="begin"/>
            </w:r>
            <w:r>
              <w:rPr>
                <w:noProof/>
                <w:webHidden/>
              </w:rPr>
              <w:instrText xml:space="preserve"> PAGEREF _Toc215151602 \h </w:instrText>
            </w:r>
            <w:r>
              <w:rPr>
                <w:noProof/>
                <w:webHidden/>
              </w:rPr>
            </w:r>
            <w:r>
              <w:rPr>
                <w:noProof/>
                <w:webHidden/>
              </w:rPr>
              <w:fldChar w:fldCharType="separate"/>
            </w:r>
            <w:r w:rsidR="004C0DE4">
              <w:rPr>
                <w:noProof/>
                <w:webHidden/>
              </w:rPr>
              <w:t>5</w:t>
            </w:r>
            <w:r>
              <w:rPr>
                <w:noProof/>
                <w:webHidden/>
              </w:rPr>
              <w:fldChar w:fldCharType="end"/>
            </w:r>
          </w:hyperlink>
        </w:p>
        <w:p w14:paraId="59D2DA5A" w14:textId="6CE674DD"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3" w:history="1">
            <w:r w:rsidRPr="00C75CB3">
              <w:rPr>
                <w:rStyle w:val="Hyperlink"/>
                <w:noProof/>
              </w:rPr>
              <w:t>2.3</w:t>
            </w:r>
            <w:r>
              <w:rPr>
                <w:rFonts w:asciiTheme="minorHAnsi" w:eastAsiaTheme="minorEastAsia" w:hAnsiTheme="minorHAnsi"/>
                <w:noProof/>
                <w:color w:val="auto"/>
                <w:kern w:val="2"/>
                <w:szCs w:val="24"/>
                <w:lang w:eastAsia="en-AU"/>
                <w14:ligatures w14:val="standardContextual"/>
              </w:rPr>
              <w:tab/>
            </w:r>
            <w:r w:rsidRPr="00C75CB3">
              <w:rPr>
                <w:rStyle w:val="Hyperlink"/>
                <w:noProof/>
              </w:rPr>
              <w:t>Objectives</w:t>
            </w:r>
            <w:r>
              <w:rPr>
                <w:noProof/>
                <w:webHidden/>
              </w:rPr>
              <w:tab/>
            </w:r>
            <w:r>
              <w:rPr>
                <w:noProof/>
                <w:webHidden/>
              </w:rPr>
              <w:fldChar w:fldCharType="begin"/>
            </w:r>
            <w:r>
              <w:rPr>
                <w:noProof/>
                <w:webHidden/>
              </w:rPr>
              <w:instrText xml:space="preserve"> PAGEREF _Toc215151603 \h </w:instrText>
            </w:r>
            <w:r>
              <w:rPr>
                <w:noProof/>
                <w:webHidden/>
              </w:rPr>
            </w:r>
            <w:r>
              <w:rPr>
                <w:noProof/>
                <w:webHidden/>
              </w:rPr>
              <w:fldChar w:fldCharType="separate"/>
            </w:r>
            <w:r w:rsidR="004C0DE4">
              <w:rPr>
                <w:noProof/>
                <w:webHidden/>
              </w:rPr>
              <w:t>6</w:t>
            </w:r>
            <w:r>
              <w:rPr>
                <w:noProof/>
                <w:webHidden/>
              </w:rPr>
              <w:fldChar w:fldCharType="end"/>
            </w:r>
          </w:hyperlink>
        </w:p>
        <w:p w14:paraId="090F8A90" w14:textId="2D34B4CE"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04" w:history="1">
            <w:r w:rsidRPr="00C75CB3">
              <w:rPr>
                <w:rStyle w:val="Hyperlink"/>
                <w:noProof/>
              </w:rPr>
              <w:t>3</w:t>
            </w:r>
            <w:r>
              <w:rPr>
                <w:rFonts w:asciiTheme="minorHAnsi" w:eastAsiaTheme="minorEastAsia" w:hAnsiTheme="minorHAnsi"/>
                <w:noProof/>
                <w:color w:val="auto"/>
                <w:kern w:val="2"/>
                <w:szCs w:val="24"/>
                <w:lang w:eastAsia="en-AU"/>
                <w14:ligatures w14:val="standardContextual"/>
              </w:rPr>
              <w:tab/>
            </w:r>
            <w:r w:rsidRPr="00C75CB3">
              <w:rPr>
                <w:rStyle w:val="Hyperlink"/>
                <w:noProof/>
              </w:rPr>
              <w:t>Principles</w:t>
            </w:r>
            <w:r>
              <w:rPr>
                <w:noProof/>
                <w:webHidden/>
              </w:rPr>
              <w:tab/>
            </w:r>
            <w:r>
              <w:rPr>
                <w:noProof/>
                <w:webHidden/>
              </w:rPr>
              <w:fldChar w:fldCharType="begin"/>
            </w:r>
            <w:r>
              <w:rPr>
                <w:noProof/>
                <w:webHidden/>
              </w:rPr>
              <w:instrText xml:space="preserve"> PAGEREF _Toc215151604 \h </w:instrText>
            </w:r>
            <w:r>
              <w:rPr>
                <w:noProof/>
                <w:webHidden/>
              </w:rPr>
            </w:r>
            <w:r>
              <w:rPr>
                <w:noProof/>
                <w:webHidden/>
              </w:rPr>
              <w:fldChar w:fldCharType="separate"/>
            </w:r>
            <w:r w:rsidR="004C0DE4">
              <w:rPr>
                <w:noProof/>
                <w:webHidden/>
              </w:rPr>
              <w:t>7</w:t>
            </w:r>
            <w:r>
              <w:rPr>
                <w:noProof/>
                <w:webHidden/>
              </w:rPr>
              <w:fldChar w:fldCharType="end"/>
            </w:r>
          </w:hyperlink>
        </w:p>
        <w:p w14:paraId="34435DF3" w14:textId="627CB227"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5" w:history="1">
            <w:r w:rsidRPr="00C75CB3">
              <w:rPr>
                <w:rStyle w:val="Hyperlink"/>
                <w:noProof/>
              </w:rPr>
              <w:t>3.1</w:t>
            </w:r>
            <w:r>
              <w:rPr>
                <w:rFonts w:asciiTheme="minorHAnsi" w:eastAsiaTheme="minorEastAsia" w:hAnsiTheme="minorHAnsi"/>
                <w:noProof/>
                <w:color w:val="auto"/>
                <w:kern w:val="2"/>
                <w:szCs w:val="24"/>
                <w:lang w:eastAsia="en-AU"/>
                <w14:ligatures w14:val="standardContextual"/>
              </w:rPr>
              <w:tab/>
            </w:r>
            <w:r w:rsidRPr="00C75CB3">
              <w:rPr>
                <w:rStyle w:val="Hyperlink"/>
                <w:noProof/>
              </w:rPr>
              <w:t>Wayfinding</w:t>
            </w:r>
            <w:r>
              <w:rPr>
                <w:noProof/>
                <w:webHidden/>
              </w:rPr>
              <w:tab/>
            </w:r>
            <w:r>
              <w:rPr>
                <w:noProof/>
                <w:webHidden/>
              </w:rPr>
              <w:fldChar w:fldCharType="begin"/>
            </w:r>
            <w:r>
              <w:rPr>
                <w:noProof/>
                <w:webHidden/>
              </w:rPr>
              <w:instrText xml:space="preserve"> PAGEREF _Toc215151605 \h </w:instrText>
            </w:r>
            <w:r>
              <w:rPr>
                <w:noProof/>
                <w:webHidden/>
              </w:rPr>
            </w:r>
            <w:r>
              <w:rPr>
                <w:noProof/>
                <w:webHidden/>
              </w:rPr>
              <w:fldChar w:fldCharType="separate"/>
            </w:r>
            <w:r w:rsidR="004C0DE4">
              <w:rPr>
                <w:noProof/>
                <w:webHidden/>
              </w:rPr>
              <w:t>7</w:t>
            </w:r>
            <w:r>
              <w:rPr>
                <w:noProof/>
                <w:webHidden/>
              </w:rPr>
              <w:fldChar w:fldCharType="end"/>
            </w:r>
          </w:hyperlink>
        </w:p>
        <w:p w14:paraId="1778107E" w14:textId="5A09011A"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6" w:history="1">
            <w:r w:rsidRPr="00C75CB3">
              <w:rPr>
                <w:rStyle w:val="Hyperlink"/>
                <w:noProof/>
              </w:rPr>
              <w:t>3.2</w:t>
            </w:r>
            <w:r>
              <w:rPr>
                <w:rFonts w:asciiTheme="minorHAnsi" w:eastAsiaTheme="minorEastAsia" w:hAnsiTheme="minorHAnsi"/>
                <w:noProof/>
                <w:color w:val="auto"/>
                <w:kern w:val="2"/>
                <w:szCs w:val="24"/>
                <w:lang w:eastAsia="en-AU"/>
                <w14:ligatures w14:val="standardContextual"/>
              </w:rPr>
              <w:tab/>
            </w:r>
            <w:r w:rsidRPr="00C75CB3">
              <w:rPr>
                <w:rStyle w:val="Hyperlink"/>
                <w:noProof/>
              </w:rPr>
              <w:t>Community</w:t>
            </w:r>
            <w:r>
              <w:rPr>
                <w:noProof/>
                <w:webHidden/>
              </w:rPr>
              <w:tab/>
            </w:r>
            <w:r>
              <w:rPr>
                <w:noProof/>
                <w:webHidden/>
              </w:rPr>
              <w:fldChar w:fldCharType="begin"/>
            </w:r>
            <w:r>
              <w:rPr>
                <w:noProof/>
                <w:webHidden/>
              </w:rPr>
              <w:instrText xml:space="preserve"> PAGEREF _Toc215151606 \h </w:instrText>
            </w:r>
            <w:r>
              <w:rPr>
                <w:noProof/>
                <w:webHidden/>
              </w:rPr>
            </w:r>
            <w:r>
              <w:rPr>
                <w:noProof/>
                <w:webHidden/>
              </w:rPr>
              <w:fldChar w:fldCharType="separate"/>
            </w:r>
            <w:r w:rsidR="004C0DE4">
              <w:rPr>
                <w:noProof/>
                <w:webHidden/>
              </w:rPr>
              <w:t>8</w:t>
            </w:r>
            <w:r>
              <w:rPr>
                <w:noProof/>
                <w:webHidden/>
              </w:rPr>
              <w:fldChar w:fldCharType="end"/>
            </w:r>
          </w:hyperlink>
        </w:p>
        <w:p w14:paraId="741D63BF" w14:textId="6172A2AE"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7" w:history="1">
            <w:r w:rsidRPr="00C75CB3">
              <w:rPr>
                <w:rStyle w:val="Hyperlink"/>
                <w:noProof/>
              </w:rPr>
              <w:t>3.3</w:t>
            </w:r>
            <w:r>
              <w:rPr>
                <w:rFonts w:asciiTheme="minorHAnsi" w:eastAsiaTheme="minorEastAsia" w:hAnsiTheme="minorHAnsi"/>
                <w:noProof/>
                <w:color w:val="auto"/>
                <w:kern w:val="2"/>
                <w:szCs w:val="24"/>
                <w:lang w:eastAsia="en-AU"/>
                <w14:ligatures w14:val="standardContextual"/>
              </w:rPr>
              <w:tab/>
            </w:r>
            <w:r w:rsidRPr="00C75CB3">
              <w:rPr>
                <w:rStyle w:val="Hyperlink"/>
                <w:noProof/>
              </w:rPr>
              <w:t>Appropriateness</w:t>
            </w:r>
            <w:r>
              <w:rPr>
                <w:noProof/>
                <w:webHidden/>
              </w:rPr>
              <w:tab/>
            </w:r>
            <w:r>
              <w:rPr>
                <w:noProof/>
                <w:webHidden/>
              </w:rPr>
              <w:fldChar w:fldCharType="begin"/>
            </w:r>
            <w:r>
              <w:rPr>
                <w:noProof/>
                <w:webHidden/>
              </w:rPr>
              <w:instrText xml:space="preserve"> PAGEREF _Toc215151607 \h </w:instrText>
            </w:r>
            <w:r>
              <w:rPr>
                <w:noProof/>
                <w:webHidden/>
              </w:rPr>
            </w:r>
            <w:r>
              <w:rPr>
                <w:noProof/>
                <w:webHidden/>
              </w:rPr>
              <w:fldChar w:fldCharType="separate"/>
            </w:r>
            <w:r w:rsidR="004C0DE4">
              <w:rPr>
                <w:noProof/>
                <w:webHidden/>
              </w:rPr>
              <w:t>8</w:t>
            </w:r>
            <w:r>
              <w:rPr>
                <w:noProof/>
                <w:webHidden/>
              </w:rPr>
              <w:fldChar w:fldCharType="end"/>
            </w:r>
          </w:hyperlink>
        </w:p>
        <w:p w14:paraId="26889C83" w14:textId="267C1A1D"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8" w:history="1">
            <w:r w:rsidRPr="00C75CB3">
              <w:rPr>
                <w:rStyle w:val="Hyperlink"/>
                <w:noProof/>
              </w:rPr>
              <w:t>3.4</w:t>
            </w:r>
            <w:r>
              <w:rPr>
                <w:rFonts w:asciiTheme="minorHAnsi" w:eastAsiaTheme="minorEastAsia" w:hAnsiTheme="minorHAnsi"/>
                <w:noProof/>
                <w:color w:val="auto"/>
                <w:kern w:val="2"/>
                <w:szCs w:val="24"/>
                <w:lang w:eastAsia="en-AU"/>
                <w14:ligatures w14:val="standardContextual"/>
              </w:rPr>
              <w:tab/>
            </w:r>
            <w:r w:rsidRPr="00C75CB3">
              <w:rPr>
                <w:rStyle w:val="Hyperlink"/>
                <w:noProof/>
              </w:rPr>
              <w:t>Dual Naming</w:t>
            </w:r>
            <w:r>
              <w:rPr>
                <w:noProof/>
                <w:webHidden/>
              </w:rPr>
              <w:tab/>
            </w:r>
            <w:r>
              <w:rPr>
                <w:noProof/>
                <w:webHidden/>
              </w:rPr>
              <w:fldChar w:fldCharType="begin"/>
            </w:r>
            <w:r>
              <w:rPr>
                <w:noProof/>
                <w:webHidden/>
              </w:rPr>
              <w:instrText xml:space="preserve"> PAGEREF _Toc215151608 \h </w:instrText>
            </w:r>
            <w:r>
              <w:rPr>
                <w:noProof/>
                <w:webHidden/>
              </w:rPr>
            </w:r>
            <w:r>
              <w:rPr>
                <w:noProof/>
                <w:webHidden/>
              </w:rPr>
              <w:fldChar w:fldCharType="separate"/>
            </w:r>
            <w:r w:rsidR="004C0DE4">
              <w:rPr>
                <w:noProof/>
                <w:webHidden/>
              </w:rPr>
              <w:t>9</w:t>
            </w:r>
            <w:r>
              <w:rPr>
                <w:noProof/>
                <w:webHidden/>
              </w:rPr>
              <w:fldChar w:fldCharType="end"/>
            </w:r>
          </w:hyperlink>
        </w:p>
        <w:p w14:paraId="61E90675" w14:textId="24EA2937"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09" w:history="1">
            <w:r w:rsidRPr="00C75CB3">
              <w:rPr>
                <w:rStyle w:val="Hyperlink"/>
                <w:noProof/>
              </w:rPr>
              <w:t>3.5</w:t>
            </w:r>
            <w:r>
              <w:rPr>
                <w:rFonts w:asciiTheme="minorHAnsi" w:eastAsiaTheme="minorEastAsia" w:hAnsiTheme="minorHAnsi"/>
                <w:noProof/>
                <w:color w:val="auto"/>
                <w:kern w:val="2"/>
                <w:szCs w:val="24"/>
                <w:lang w:eastAsia="en-AU"/>
                <w14:ligatures w14:val="standardContextual"/>
              </w:rPr>
              <w:tab/>
            </w:r>
            <w:r w:rsidRPr="00C75CB3">
              <w:rPr>
                <w:rStyle w:val="Hyperlink"/>
                <w:noProof/>
              </w:rPr>
              <w:t>Contiguous</w:t>
            </w:r>
            <w:r>
              <w:rPr>
                <w:noProof/>
                <w:webHidden/>
              </w:rPr>
              <w:tab/>
            </w:r>
            <w:r>
              <w:rPr>
                <w:noProof/>
                <w:webHidden/>
              </w:rPr>
              <w:fldChar w:fldCharType="begin"/>
            </w:r>
            <w:r>
              <w:rPr>
                <w:noProof/>
                <w:webHidden/>
              </w:rPr>
              <w:instrText xml:space="preserve"> PAGEREF _Toc215151609 \h </w:instrText>
            </w:r>
            <w:r>
              <w:rPr>
                <w:noProof/>
                <w:webHidden/>
              </w:rPr>
            </w:r>
            <w:r>
              <w:rPr>
                <w:noProof/>
                <w:webHidden/>
              </w:rPr>
              <w:fldChar w:fldCharType="separate"/>
            </w:r>
            <w:r w:rsidR="004C0DE4">
              <w:rPr>
                <w:noProof/>
                <w:webHidden/>
              </w:rPr>
              <w:t>9</w:t>
            </w:r>
            <w:r>
              <w:rPr>
                <w:noProof/>
                <w:webHidden/>
              </w:rPr>
              <w:fldChar w:fldCharType="end"/>
            </w:r>
          </w:hyperlink>
        </w:p>
        <w:p w14:paraId="43A9B189" w14:textId="045C4D1D"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0" w:history="1">
            <w:r w:rsidRPr="00C75CB3">
              <w:rPr>
                <w:rStyle w:val="Hyperlink"/>
                <w:noProof/>
              </w:rPr>
              <w:t>3.6</w:t>
            </w:r>
            <w:r>
              <w:rPr>
                <w:rFonts w:asciiTheme="minorHAnsi" w:eastAsiaTheme="minorEastAsia" w:hAnsiTheme="minorHAnsi"/>
                <w:noProof/>
                <w:color w:val="auto"/>
                <w:kern w:val="2"/>
                <w:szCs w:val="24"/>
                <w:lang w:eastAsia="en-AU"/>
                <w14:ligatures w14:val="standardContextual"/>
              </w:rPr>
              <w:tab/>
            </w:r>
            <w:r w:rsidRPr="00C75CB3">
              <w:rPr>
                <w:rStyle w:val="Hyperlink"/>
                <w:noProof/>
              </w:rPr>
              <w:t>Unique</w:t>
            </w:r>
            <w:r>
              <w:rPr>
                <w:noProof/>
                <w:webHidden/>
              </w:rPr>
              <w:tab/>
            </w:r>
            <w:r>
              <w:rPr>
                <w:noProof/>
                <w:webHidden/>
              </w:rPr>
              <w:fldChar w:fldCharType="begin"/>
            </w:r>
            <w:r>
              <w:rPr>
                <w:noProof/>
                <w:webHidden/>
              </w:rPr>
              <w:instrText xml:space="preserve"> PAGEREF _Toc215151610 \h </w:instrText>
            </w:r>
            <w:r>
              <w:rPr>
                <w:noProof/>
                <w:webHidden/>
              </w:rPr>
            </w:r>
            <w:r>
              <w:rPr>
                <w:noProof/>
                <w:webHidden/>
              </w:rPr>
              <w:fldChar w:fldCharType="separate"/>
            </w:r>
            <w:r w:rsidR="004C0DE4">
              <w:rPr>
                <w:noProof/>
                <w:webHidden/>
              </w:rPr>
              <w:t>9</w:t>
            </w:r>
            <w:r>
              <w:rPr>
                <w:noProof/>
                <w:webHidden/>
              </w:rPr>
              <w:fldChar w:fldCharType="end"/>
            </w:r>
          </w:hyperlink>
        </w:p>
        <w:p w14:paraId="600CB859" w14:textId="020291F2"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1" w:history="1">
            <w:r w:rsidRPr="00C75CB3">
              <w:rPr>
                <w:rStyle w:val="Hyperlink"/>
                <w:noProof/>
              </w:rPr>
              <w:t>3.7</w:t>
            </w:r>
            <w:r>
              <w:rPr>
                <w:rFonts w:asciiTheme="minorHAnsi" w:eastAsiaTheme="minorEastAsia" w:hAnsiTheme="minorHAnsi"/>
                <w:noProof/>
                <w:color w:val="auto"/>
                <w:kern w:val="2"/>
                <w:szCs w:val="24"/>
                <w:lang w:eastAsia="en-AU"/>
                <w14:ligatures w14:val="standardContextual"/>
              </w:rPr>
              <w:tab/>
            </w:r>
            <w:r w:rsidRPr="00C75CB3">
              <w:rPr>
                <w:rStyle w:val="Hyperlink"/>
                <w:noProof/>
              </w:rPr>
              <w:t>Language</w:t>
            </w:r>
            <w:r>
              <w:rPr>
                <w:noProof/>
                <w:webHidden/>
              </w:rPr>
              <w:tab/>
            </w:r>
            <w:r>
              <w:rPr>
                <w:noProof/>
                <w:webHidden/>
              </w:rPr>
              <w:fldChar w:fldCharType="begin"/>
            </w:r>
            <w:r>
              <w:rPr>
                <w:noProof/>
                <w:webHidden/>
              </w:rPr>
              <w:instrText xml:space="preserve"> PAGEREF _Toc215151611 \h </w:instrText>
            </w:r>
            <w:r>
              <w:rPr>
                <w:noProof/>
                <w:webHidden/>
              </w:rPr>
            </w:r>
            <w:r>
              <w:rPr>
                <w:noProof/>
                <w:webHidden/>
              </w:rPr>
              <w:fldChar w:fldCharType="separate"/>
            </w:r>
            <w:r w:rsidR="004C0DE4">
              <w:rPr>
                <w:noProof/>
                <w:webHidden/>
              </w:rPr>
              <w:t>10</w:t>
            </w:r>
            <w:r>
              <w:rPr>
                <w:noProof/>
                <w:webHidden/>
              </w:rPr>
              <w:fldChar w:fldCharType="end"/>
            </w:r>
          </w:hyperlink>
        </w:p>
        <w:p w14:paraId="63091788" w14:textId="2ACF9D18"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2" w:history="1">
            <w:r w:rsidRPr="00C75CB3">
              <w:rPr>
                <w:rStyle w:val="Hyperlink"/>
                <w:noProof/>
              </w:rPr>
              <w:t>3.8</w:t>
            </w:r>
            <w:r>
              <w:rPr>
                <w:rFonts w:asciiTheme="minorHAnsi" w:eastAsiaTheme="minorEastAsia" w:hAnsiTheme="minorHAnsi"/>
                <w:noProof/>
                <w:color w:val="auto"/>
                <w:kern w:val="2"/>
                <w:szCs w:val="24"/>
                <w:lang w:eastAsia="en-AU"/>
                <w14:ligatures w14:val="standardContextual"/>
              </w:rPr>
              <w:tab/>
            </w:r>
            <w:r w:rsidRPr="00C75CB3">
              <w:rPr>
                <w:rStyle w:val="Hyperlink"/>
                <w:noProof/>
              </w:rPr>
              <w:t>Renaming</w:t>
            </w:r>
            <w:r>
              <w:rPr>
                <w:noProof/>
                <w:webHidden/>
              </w:rPr>
              <w:tab/>
            </w:r>
            <w:r>
              <w:rPr>
                <w:noProof/>
                <w:webHidden/>
              </w:rPr>
              <w:fldChar w:fldCharType="begin"/>
            </w:r>
            <w:r>
              <w:rPr>
                <w:noProof/>
                <w:webHidden/>
              </w:rPr>
              <w:instrText xml:space="preserve"> PAGEREF _Toc215151612 \h </w:instrText>
            </w:r>
            <w:r>
              <w:rPr>
                <w:noProof/>
                <w:webHidden/>
              </w:rPr>
            </w:r>
            <w:r>
              <w:rPr>
                <w:noProof/>
                <w:webHidden/>
              </w:rPr>
              <w:fldChar w:fldCharType="separate"/>
            </w:r>
            <w:r w:rsidR="004C0DE4">
              <w:rPr>
                <w:noProof/>
                <w:webHidden/>
              </w:rPr>
              <w:t>10</w:t>
            </w:r>
            <w:r>
              <w:rPr>
                <w:noProof/>
                <w:webHidden/>
              </w:rPr>
              <w:fldChar w:fldCharType="end"/>
            </w:r>
          </w:hyperlink>
        </w:p>
        <w:p w14:paraId="6ED89724" w14:textId="66B0FD1B"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13" w:history="1">
            <w:r w:rsidRPr="00C75CB3">
              <w:rPr>
                <w:rStyle w:val="Hyperlink"/>
                <w:noProof/>
              </w:rPr>
              <w:t>4</w:t>
            </w:r>
            <w:r>
              <w:rPr>
                <w:rFonts w:asciiTheme="minorHAnsi" w:eastAsiaTheme="minorEastAsia" w:hAnsiTheme="minorHAnsi"/>
                <w:noProof/>
                <w:color w:val="auto"/>
                <w:kern w:val="2"/>
                <w:szCs w:val="24"/>
                <w:lang w:eastAsia="en-AU"/>
                <w14:ligatures w14:val="standardContextual"/>
              </w:rPr>
              <w:tab/>
            </w:r>
            <w:r w:rsidRPr="00C75CB3">
              <w:rPr>
                <w:rStyle w:val="Hyperlink"/>
                <w:noProof/>
              </w:rPr>
              <w:t>Name selection</w:t>
            </w:r>
            <w:r>
              <w:rPr>
                <w:noProof/>
                <w:webHidden/>
              </w:rPr>
              <w:tab/>
            </w:r>
            <w:r>
              <w:rPr>
                <w:noProof/>
                <w:webHidden/>
              </w:rPr>
              <w:fldChar w:fldCharType="begin"/>
            </w:r>
            <w:r>
              <w:rPr>
                <w:noProof/>
                <w:webHidden/>
              </w:rPr>
              <w:instrText xml:space="preserve"> PAGEREF _Toc215151613 \h </w:instrText>
            </w:r>
            <w:r>
              <w:rPr>
                <w:noProof/>
                <w:webHidden/>
              </w:rPr>
            </w:r>
            <w:r>
              <w:rPr>
                <w:noProof/>
                <w:webHidden/>
              </w:rPr>
              <w:fldChar w:fldCharType="separate"/>
            </w:r>
            <w:r w:rsidR="004C0DE4">
              <w:rPr>
                <w:noProof/>
                <w:webHidden/>
              </w:rPr>
              <w:t>11</w:t>
            </w:r>
            <w:r>
              <w:rPr>
                <w:noProof/>
                <w:webHidden/>
              </w:rPr>
              <w:fldChar w:fldCharType="end"/>
            </w:r>
          </w:hyperlink>
        </w:p>
        <w:p w14:paraId="062B3F03" w14:textId="0129066E"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4" w:history="1">
            <w:r w:rsidRPr="00C75CB3">
              <w:rPr>
                <w:rStyle w:val="Hyperlink"/>
                <w:noProof/>
              </w:rPr>
              <w:t>4.1</w:t>
            </w:r>
            <w:r>
              <w:rPr>
                <w:rFonts w:asciiTheme="minorHAnsi" w:eastAsiaTheme="minorEastAsia" w:hAnsiTheme="minorHAnsi"/>
                <w:noProof/>
                <w:color w:val="auto"/>
                <w:kern w:val="2"/>
                <w:szCs w:val="24"/>
                <w:lang w:eastAsia="en-AU"/>
                <w14:ligatures w14:val="standardContextual"/>
              </w:rPr>
              <w:tab/>
            </w:r>
            <w:r w:rsidRPr="00C75CB3">
              <w:rPr>
                <w:rStyle w:val="Hyperlink"/>
                <w:noProof/>
              </w:rPr>
              <w:t>The process for considering a proposal and progressing a suggestion for approval is detailed in the Naming of Infrastructure Procedure.Publicly initiated proposals</w:t>
            </w:r>
            <w:r>
              <w:rPr>
                <w:noProof/>
                <w:webHidden/>
              </w:rPr>
              <w:tab/>
            </w:r>
            <w:r>
              <w:rPr>
                <w:noProof/>
                <w:webHidden/>
              </w:rPr>
              <w:fldChar w:fldCharType="begin"/>
            </w:r>
            <w:r>
              <w:rPr>
                <w:noProof/>
                <w:webHidden/>
              </w:rPr>
              <w:instrText xml:space="preserve"> PAGEREF _Toc215151614 \h </w:instrText>
            </w:r>
            <w:r>
              <w:rPr>
                <w:noProof/>
                <w:webHidden/>
              </w:rPr>
            </w:r>
            <w:r>
              <w:rPr>
                <w:noProof/>
                <w:webHidden/>
              </w:rPr>
              <w:fldChar w:fldCharType="separate"/>
            </w:r>
            <w:r w:rsidR="004C0DE4">
              <w:rPr>
                <w:noProof/>
                <w:webHidden/>
              </w:rPr>
              <w:t>11</w:t>
            </w:r>
            <w:r>
              <w:rPr>
                <w:noProof/>
                <w:webHidden/>
              </w:rPr>
              <w:fldChar w:fldCharType="end"/>
            </w:r>
          </w:hyperlink>
        </w:p>
        <w:p w14:paraId="441CFE2D" w14:textId="37A5A85D"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5" w:history="1">
            <w:r w:rsidRPr="00C75CB3">
              <w:rPr>
                <w:rStyle w:val="Hyperlink"/>
                <w:noProof/>
              </w:rPr>
              <w:t>4.2</w:t>
            </w:r>
            <w:r>
              <w:rPr>
                <w:rFonts w:asciiTheme="minorHAnsi" w:eastAsiaTheme="minorEastAsia" w:hAnsiTheme="minorHAnsi"/>
                <w:noProof/>
                <w:color w:val="auto"/>
                <w:kern w:val="2"/>
                <w:szCs w:val="24"/>
                <w:lang w:eastAsia="en-AU"/>
                <w14:ligatures w14:val="standardContextual"/>
              </w:rPr>
              <w:tab/>
            </w:r>
            <w:r w:rsidRPr="00C75CB3">
              <w:rPr>
                <w:rStyle w:val="Hyperlink"/>
                <w:noProof/>
              </w:rPr>
              <w:t>Department initiated proposals</w:t>
            </w:r>
            <w:r>
              <w:rPr>
                <w:noProof/>
                <w:webHidden/>
              </w:rPr>
              <w:tab/>
            </w:r>
            <w:r>
              <w:rPr>
                <w:noProof/>
                <w:webHidden/>
              </w:rPr>
              <w:fldChar w:fldCharType="begin"/>
            </w:r>
            <w:r>
              <w:rPr>
                <w:noProof/>
                <w:webHidden/>
              </w:rPr>
              <w:instrText xml:space="preserve"> PAGEREF _Toc215151615 \h </w:instrText>
            </w:r>
            <w:r>
              <w:rPr>
                <w:noProof/>
                <w:webHidden/>
              </w:rPr>
            </w:r>
            <w:r>
              <w:rPr>
                <w:noProof/>
                <w:webHidden/>
              </w:rPr>
              <w:fldChar w:fldCharType="separate"/>
            </w:r>
            <w:r w:rsidR="004C0DE4">
              <w:rPr>
                <w:noProof/>
                <w:webHidden/>
              </w:rPr>
              <w:t>12</w:t>
            </w:r>
            <w:r>
              <w:rPr>
                <w:noProof/>
                <w:webHidden/>
              </w:rPr>
              <w:fldChar w:fldCharType="end"/>
            </w:r>
          </w:hyperlink>
        </w:p>
        <w:p w14:paraId="274FE502" w14:textId="6938BB25" w:rsidR="00B07A54" w:rsidRDefault="00B07A54" w:rsidP="00097328">
          <w:pPr>
            <w:pStyle w:val="TOC2"/>
            <w:tabs>
              <w:tab w:val="clear" w:pos="958"/>
            </w:tabs>
            <w:ind w:left="1134" w:hanging="567"/>
            <w:rPr>
              <w:rFonts w:asciiTheme="minorHAnsi" w:eastAsiaTheme="minorEastAsia" w:hAnsiTheme="minorHAnsi"/>
              <w:noProof/>
              <w:color w:val="auto"/>
              <w:kern w:val="2"/>
              <w:szCs w:val="24"/>
              <w:lang w:eastAsia="en-AU"/>
              <w14:ligatures w14:val="standardContextual"/>
            </w:rPr>
          </w:pPr>
          <w:hyperlink w:anchor="_Toc215151616" w:history="1">
            <w:r w:rsidRPr="00C75CB3">
              <w:rPr>
                <w:rStyle w:val="Hyperlink"/>
                <w:noProof/>
              </w:rPr>
              <w:t>4.3</w:t>
            </w:r>
            <w:r>
              <w:rPr>
                <w:rFonts w:asciiTheme="minorHAnsi" w:eastAsiaTheme="minorEastAsia" w:hAnsiTheme="minorHAnsi"/>
                <w:noProof/>
                <w:color w:val="auto"/>
                <w:kern w:val="2"/>
                <w:szCs w:val="24"/>
                <w:lang w:eastAsia="en-AU"/>
                <w14:ligatures w14:val="standardContextual"/>
              </w:rPr>
              <w:tab/>
            </w:r>
            <w:r w:rsidRPr="00C75CB3">
              <w:rPr>
                <w:rStyle w:val="Hyperlink"/>
                <w:noProof/>
              </w:rPr>
              <w:t>Consultation</w:t>
            </w:r>
            <w:r>
              <w:rPr>
                <w:noProof/>
                <w:webHidden/>
              </w:rPr>
              <w:tab/>
            </w:r>
            <w:r>
              <w:rPr>
                <w:noProof/>
                <w:webHidden/>
              </w:rPr>
              <w:fldChar w:fldCharType="begin"/>
            </w:r>
            <w:r>
              <w:rPr>
                <w:noProof/>
                <w:webHidden/>
              </w:rPr>
              <w:instrText xml:space="preserve"> PAGEREF _Toc215151616 \h </w:instrText>
            </w:r>
            <w:r>
              <w:rPr>
                <w:noProof/>
                <w:webHidden/>
              </w:rPr>
            </w:r>
            <w:r>
              <w:rPr>
                <w:noProof/>
                <w:webHidden/>
              </w:rPr>
              <w:fldChar w:fldCharType="separate"/>
            </w:r>
            <w:r w:rsidR="004C0DE4">
              <w:rPr>
                <w:noProof/>
                <w:webHidden/>
              </w:rPr>
              <w:t>12</w:t>
            </w:r>
            <w:r>
              <w:rPr>
                <w:noProof/>
                <w:webHidden/>
              </w:rPr>
              <w:fldChar w:fldCharType="end"/>
            </w:r>
          </w:hyperlink>
        </w:p>
        <w:p w14:paraId="3F113D57" w14:textId="3DD78BD3"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17" w:history="1">
            <w:r w:rsidRPr="00C75CB3">
              <w:rPr>
                <w:rStyle w:val="Hyperlink"/>
                <w:noProof/>
              </w:rPr>
              <w:t>5</w:t>
            </w:r>
            <w:r>
              <w:rPr>
                <w:rFonts w:asciiTheme="minorHAnsi" w:eastAsiaTheme="minorEastAsia" w:hAnsiTheme="minorHAnsi"/>
                <w:noProof/>
                <w:color w:val="auto"/>
                <w:kern w:val="2"/>
                <w:szCs w:val="24"/>
                <w:lang w:eastAsia="en-AU"/>
                <w14:ligatures w14:val="standardContextual"/>
              </w:rPr>
              <w:tab/>
            </w:r>
            <w:r w:rsidRPr="00C75CB3">
              <w:rPr>
                <w:rStyle w:val="Hyperlink"/>
                <w:noProof/>
              </w:rPr>
              <w:t>Public Information</w:t>
            </w:r>
            <w:r>
              <w:rPr>
                <w:noProof/>
                <w:webHidden/>
              </w:rPr>
              <w:tab/>
            </w:r>
            <w:r>
              <w:rPr>
                <w:noProof/>
                <w:webHidden/>
              </w:rPr>
              <w:fldChar w:fldCharType="begin"/>
            </w:r>
            <w:r>
              <w:rPr>
                <w:noProof/>
                <w:webHidden/>
              </w:rPr>
              <w:instrText xml:space="preserve"> PAGEREF _Toc215151617 \h </w:instrText>
            </w:r>
            <w:r>
              <w:rPr>
                <w:noProof/>
                <w:webHidden/>
              </w:rPr>
            </w:r>
            <w:r>
              <w:rPr>
                <w:noProof/>
                <w:webHidden/>
              </w:rPr>
              <w:fldChar w:fldCharType="separate"/>
            </w:r>
            <w:r w:rsidR="004C0DE4">
              <w:rPr>
                <w:noProof/>
                <w:webHidden/>
              </w:rPr>
              <w:t>12</w:t>
            </w:r>
            <w:r>
              <w:rPr>
                <w:noProof/>
                <w:webHidden/>
              </w:rPr>
              <w:fldChar w:fldCharType="end"/>
            </w:r>
          </w:hyperlink>
        </w:p>
        <w:p w14:paraId="136B149D" w14:textId="76630BEE"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18" w:history="1">
            <w:r w:rsidRPr="00C75CB3">
              <w:rPr>
                <w:rStyle w:val="Hyperlink"/>
                <w:noProof/>
              </w:rPr>
              <w:t>6</w:t>
            </w:r>
            <w:r>
              <w:rPr>
                <w:rFonts w:asciiTheme="minorHAnsi" w:eastAsiaTheme="minorEastAsia" w:hAnsiTheme="minorHAnsi"/>
                <w:noProof/>
                <w:color w:val="auto"/>
                <w:kern w:val="2"/>
                <w:szCs w:val="24"/>
                <w:lang w:eastAsia="en-AU"/>
                <w14:ligatures w14:val="standardContextual"/>
              </w:rPr>
              <w:tab/>
            </w:r>
            <w:r w:rsidRPr="00C75CB3">
              <w:rPr>
                <w:rStyle w:val="Hyperlink"/>
                <w:noProof/>
              </w:rPr>
              <w:t>Implementation and Revision</w:t>
            </w:r>
            <w:r>
              <w:rPr>
                <w:noProof/>
                <w:webHidden/>
              </w:rPr>
              <w:tab/>
            </w:r>
            <w:r>
              <w:rPr>
                <w:noProof/>
                <w:webHidden/>
              </w:rPr>
              <w:fldChar w:fldCharType="begin"/>
            </w:r>
            <w:r>
              <w:rPr>
                <w:noProof/>
                <w:webHidden/>
              </w:rPr>
              <w:instrText xml:space="preserve"> PAGEREF _Toc215151618 \h </w:instrText>
            </w:r>
            <w:r>
              <w:rPr>
                <w:noProof/>
                <w:webHidden/>
              </w:rPr>
            </w:r>
            <w:r>
              <w:rPr>
                <w:noProof/>
                <w:webHidden/>
              </w:rPr>
              <w:fldChar w:fldCharType="separate"/>
            </w:r>
            <w:r w:rsidR="004C0DE4">
              <w:rPr>
                <w:noProof/>
                <w:webHidden/>
              </w:rPr>
              <w:t>12</w:t>
            </w:r>
            <w:r>
              <w:rPr>
                <w:noProof/>
                <w:webHidden/>
              </w:rPr>
              <w:fldChar w:fldCharType="end"/>
            </w:r>
          </w:hyperlink>
        </w:p>
        <w:p w14:paraId="0E0294FE" w14:textId="79F612E7"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19" w:history="1">
            <w:r w:rsidRPr="00C75CB3">
              <w:rPr>
                <w:rStyle w:val="Hyperlink"/>
                <w:noProof/>
              </w:rPr>
              <w:t>7</w:t>
            </w:r>
            <w:r>
              <w:rPr>
                <w:rFonts w:asciiTheme="minorHAnsi" w:eastAsiaTheme="minorEastAsia" w:hAnsiTheme="minorHAnsi"/>
                <w:noProof/>
                <w:color w:val="auto"/>
                <w:kern w:val="2"/>
                <w:szCs w:val="24"/>
                <w:lang w:eastAsia="en-AU"/>
                <w14:ligatures w14:val="standardContextual"/>
              </w:rPr>
              <w:tab/>
            </w:r>
            <w:r w:rsidRPr="00C75CB3">
              <w:rPr>
                <w:rStyle w:val="Hyperlink"/>
                <w:noProof/>
              </w:rPr>
              <w:t>Associated Policy Documents</w:t>
            </w:r>
            <w:r>
              <w:rPr>
                <w:noProof/>
                <w:webHidden/>
              </w:rPr>
              <w:tab/>
            </w:r>
            <w:r>
              <w:rPr>
                <w:noProof/>
                <w:webHidden/>
              </w:rPr>
              <w:fldChar w:fldCharType="begin"/>
            </w:r>
            <w:r>
              <w:rPr>
                <w:noProof/>
                <w:webHidden/>
              </w:rPr>
              <w:instrText xml:space="preserve"> PAGEREF _Toc215151619 \h </w:instrText>
            </w:r>
            <w:r>
              <w:rPr>
                <w:noProof/>
                <w:webHidden/>
              </w:rPr>
            </w:r>
            <w:r>
              <w:rPr>
                <w:noProof/>
                <w:webHidden/>
              </w:rPr>
              <w:fldChar w:fldCharType="separate"/>
            </w:r>
            <w:r w:rsidR="004C0DE4">
              <w:rPr>
                <w:noProof/>
                <w:webHidden/>
              </w:rPr>
              <w:t>12</w:t>
            </w:r>
            <w:r>
              <w:rPr>
                <w:noProof/>
                <w:webHidden/>
              </w:rPr>
              <w:fldChar w:fldCharType="end"/>
            </w:r>
          </w:hyperlink>
        </w:p>
        <w:p w14:paraId="141A9278" w14:textId="40707699" w:rsidR="00B07A54" w:rsidRDefault="00B07A54" w:rsidP="00646A31">
          <w:pPr>
            <w:pStyle w:val="TOC1"/>
            <w:rPr>
              <w:rFonts w:asciiTheme="minorHAnsi" w:eastAsiaTheme="minorEastAsia" w:hAnsiTheme="minorHAnsi"/>
              <w:noProof/>
              <w:color w:val="auto"/>
              <w:kern w:val="2"/>
              <w:szCs w:val="24"/>
              <w:lang w:eastAsia="en-AU"/>
              <w14:ligatures w14:val="standardContextual"/>
            </w:rPr>
          </w:pPr>
          <w:hyperlink w:anchor="_Toc215151620" w:history="1">
            <w:r w:rsidRPr="00C75CB3">
              <w:rPr>
                <w:rStyle w:val="Hyperlink"/>
                <w:noProof/>
              </w:rPr>
              <w:t>8</w:t>
            </w:r>
            <w:r>
              <w:rPr>
                <w:rFonts w:asciiTheme="minorHAnsi" w:eastAsiaTheme="minorEastAsia" w:hAnsiTheme="minorHAnsi"/>
                <w:noProof/>
                <w:color w:val="auto"/>
                <w:kern w:val="2"/>
                <w:szCs w:val="24"/>
                <w:lang w:eastAsia="en-AU"/>
                <w14:ligatures w14:val="standardContextual"/>
              </w:rPr>
              <w:tab/>
            </w:r>
            <w:r w:rsidRPr="00C75CB3">
              <w:rPr>
                <w:rStyle w:val="Hyperlink"/>
                <w:noProof/>
              </w:rPr>
              <w:t>Glossary</w:t>
            </w:r>
            <w:r>
              <w:rPr>
                <w:noProof/>
                <w:webHidden/>
              </w:rPr>
              <w:tab/>
            </w:r>
            <w:r>
              <w:rPr>
                <w:noProof/>
                <w:webHidden/>
              </w:rPr>
              <w:fldChar w:fldCharType="begin"/>
            </w:r>
            <w:r>
              <w:rPr>
                <w:noProof/>
                <w:webHidden/>
              </w:rPr>
              <w:instrText xml:space="preserve"> PAGEREF _Toc215151620 \h </w:instrText>
            </w:r>
            <w:r>
              <w:rPr>
                <w:noProof/>
                <w:webHidden/>
              </w:rPr>
            </w:r>
            <w:r>
              <w:rPr>
                <w:noProof/>
                <w:webHidden/>
              </w:rPr>
              <w:fldChar w:fldCharType="separate"/>
            </w:r>
            <w:r w:rsidR="004C0DE4">
              <w:rPr>
                <w:noProof/>
                <w:webHidden/>
              </w:rPr>
              <w:t>13</w:t>
            </w:r>
            <w:r>
              <w:rPr>
                <w:noProof/>
                <w:webHidden/>
              </w:rPr>
              <w:fldChar w:fldCharType="end"/>
            </w:r>
          </w:hyperlink>
        </w:p>
        <w:p w14:paraId="6BDCEC9C" w14:textId="125FD2A7" w:rsidR="008113E9" w:rsidRDefault="008113E9" w:rsidP="00E53EB4">
          <w:pPr>
            <w:spacing w:after="120" w:line="300" w:lineRule="atLeast"/>
          </w:pPr>
          <w:r>
            <w:rPr>
              <w:b/>
              <w:bCs/>
              <w:noProof/>
            </w:rPr>
            <w:fldChar w:fldCharType="end"/>
          </w:r>
        </w:p>
      </w:sdtContent>
    </w:sdt>
    <w:p w14:paraId="156DFD7B" w14:textId="77777777" w:rsidR="008113E9" w:rsidRDefault="008113E9" w:rsidP="00646A31">
      <w:pPr>
        <w:pStyle w:val="Heading1"/>
        <w:sectPr w:rsidR="008113E9" w:rsidSect="008113E9">
          <w:headerReference w:type="first" r:id="rId12"/>
          <w:pgSz w:w="11906" w:h="16838" w:code="9"/>
          <w:pgMar w:top="1135" w:right="1418" w:bottom="1843" w:left="1418" w:header="567" w:footer="567" w:gutter="0"/>
          <w:cols w:space="708"/>
          <w:titlePg/>
          <w:docGrid w:linePitch="360"/>
        </w:sectPr>
      </w:pPr>
    </w:p>
    <w:p w14:paraId="66889DC1" w14:textId="5D434087" w:rsidR="002A0767" w:rsidRPr="008113E9" w:rsidRDefault="002A0767" w:rsidP="00646A31">
      <w:pPr>
        <w:pStyle w:val="Heading1"/>
        <w:numPr>
          <w:ilvl w:val="0"/>
          <w:numId w:val="18"/>
        </w:numPr>
        <w:ind w:left="993" w:hanging="993"/>
      </w:pPr>
      <w:bookmarkStart w:id="1" w:name="_Toc210731134"/>
      <w:bookmarkStart w:id="2" w:name="_Toc215151593"/>
      <w:r w:rsidRPr="004C0067">
        <w:lastRenderedPageBreak/>
        <w:t>Policy statement</w:t>
      </w:r>
      <w:bookmarkEnd w:id="1"/>
      <w:r w:rsidRPr="008113E9">
        <w:t xml:space="preserve"> </w:t>
      </w:r>
      <w:bookmarkEnd w:id="2"/>
    </w:p>
    <w:p w14:paraId="2218EF06" w14:textId="77777777" w:rsidR="002A0767" w:rsidRPr="0070776E" w:rsidRDefault="002A0767" w:rsidP="00A725AE">
      <w:pPr>
        <w:pStyle w:val="BodyText"/>
        <w:rPr>
          <w:rFonts w:ascii="Arial" w:hAnsi="Arial" w:cs="Arial"/>
          <w:sz w:val="24"/>
          <w:szCs w:val="24"/>
        </w:rPr>
      </w:pPr>
      <w:r w:rsidRPr="0070776E">
        <w:rPr>
          <w:rFonts w:ascii="Arial" w:hAnsi="Arial" w:cs="Arial"/>
          <w:sz w:val="24"/>
          <w:szCs w:val="24"/>
        </w:rPr>
        <w:t>The Department of Transport and Main Roads (TMR) seeks to have a transparent and consistent approach for naming TMR owned or operated transport infrastructure.</w:t>
      </w:r>
    </w:p>
    <w:p w14:paraId="319680F6" w14:textId="77777777" w:rsidR="002A0767" w:rsidRPr="0070776E" w:rsidRDefault="002A0767" w:rsidP="00A725AE">
      <w:pPr>
        <w:pStyle w:val="BodyText"/>
        <w:rPr>
          <w:rFonts w:ascii="Arial" w:hAnsi="Arial" w:cs="Arial"/>
          <w:sz w:val="24"/>
          <w:szCs w:val="24"/>
        </w:rPr>
      </w:pPr>
      <w:r w:rsidRPr="00347462">
        <w:rPr>
          <w:rFonts w:ascii="Arial" w:hAnsi="Arial" w:cs="Arial"/>
          <w:sz w:val="24"/>
          <w:szCs w:val="24"/>
        </w:rPr>
        <w:t>This policy replaces the Naming of Infrastructure Policy 2020.</w:t>
      </w:r>
    </w:p>
    <w:p w14:paraId="75DE37A7" w14:textId="77777777" w:rsidR="002A0767" w:rsidRDefault="002A0767" w:rsidP="00646A31">
      <w:pPr>
        <w:pStyle w:val="Heading2"/>
      </w:pPr>
      <w:bookmarkStart w:id="3" w:name="_Toc210731135"/>
      <w:bookmarkStart w:id="4" w:name="_Toc215151594"/>
      <w:r>
        <w:t>Policy principles</w:t>
      </w:r>
      <w:bookmarkEnd w:id="3"/>
      <w:bookmarkEnd w:id="4"/>
    </w:p>
    <w:p w14:paraId="6DA2DC36" w14:textId="77777777" w:rsidR="002149DD" w:rsidRPr="00347462" w:rsidRDefault="002149DD" w:rsidP="00347462">
      <w:pPr>
        <w:pStyle w:val="BodyText"/>
        <w:rPr>
          <w:rFonts w:ascii="Arial" w:hAnsi="Arial" w:cs="Arial"/>
          <w:sz w:val="24"/>
          <w:szCs w:val="24"/>
        </w:rPr>
      </w:pPr>
      <w:r w:rsidRPr="00347462">
        <w:rPr>
          <w:rFonts w:ascii="Arial" w:hAnsi="Arial" w:cs="Arial"/>
          <w:sz w:val="24"/>
          <w:szCs w:val="24"/>
        </w:rPr>
        <w:t>The application of these policy principles provides an open and transparent process that applies only to the naming of transport infrastructure assets owned or operated by TMR.</w:t>
      </w:r>
    </w:p>
    <w:p w14:paraId="6909FD26" w14:textId="482210F5" w:rsidR="002A0767" w:rsidRDefault="002A0767" w:rsidP="00E53EB4">
      <w:pPr>
        <w:spacing w:after="120" w:line="300" w:lineRule="atLeast"/>
      </w:pPr>
      <w:r>
        <w:t>.</w:t>
      </w:r>
    </w:p>
    <w:p w14:paraId="3F4181D5" w14:textId="77777777" w:rsidR="002A0767" w:rsidRDefault="002A0767" w:rsidP="00646A31">
      <w:pPr>
        <w:pStyle w:val="Heading2"/>
      </w:pPr>
      <w:bookmarkStart w:id="5" w:name="_Toc210731136"/>
      <w:bookmarkStart w:id="6" w:name="_Toc215151595"/>
      <w:r w:rsidRPr="00100AE3">
        <w:t>Scope</w:t>
      </w:r>
      <w:bookmarkEnd w:id="5"/>
      <w:bookmarkEnd w:id="6"/>
      <w:r w:rsidRPr="00100AE3">
        <w:t xml:space="preserve"> </w:t>
      </w:r>
    </w:p>
    <w:p w14:paraId="4F1E98DA" w14:textId="780F5002" w:rsidR="002A0767" w:rsidRPr="00F62FDC" w:rsidRDefault="002A0767" w:rsidP="00646A31">
      <w:pPr>
        <w:pStyle w:val="Heading3"/>
      </w:pPr>
      <w:bookmarkStart w:id="7" w:name="_Toc210731137"/>
      <w:bookmarkStart w:id="8" w:name="_Toc215151596"/>
      <w:r w:rsidRPr="00F62FDC">
        <w:t>In S</w:t>
      </w:r>
      <w:r>
        <w:t>cope</w:t>
      </w:r>
      <w:bookmarkEnd w:id="7"/>
      <w:bookmarkEnd w:id="8"/>
    </w:p>
    <w:p w14:paraId="63DAC02E" w14:textId="77777777" w:rsidR="002A0767" w:rsidRPr="0010287C" w:rsidRDefault="002A0767" w:rsidP="00E53EB4">
      <w:pPr>
        <w:pStyle w:val="BodyText"/>
        <w:rPr>
          <w:rFonts w:ascii="Arial" w:hAnsi="Arial"/>
          <w:color w:val="2F2F2F" w:themeColor="text1" w:themeTint="E6"/>
          <w:sz w:val="24"/>
        </w:rPr>
      </w:pPr>
      <w:r w:rsidRPr="0010287C">
        <w:rPr>
          <w:rFonts w:ascii="Arial" w:hAnsi="Arial"/>
          <w:color w:val="2F2F2F" w:themeColor="text1" w:themeTint="E6"/>
          <w:sz w:val="24"/>
        </w:rPr>
        <w:t xml:space="preserve">This policy applies to transport infrastructure assets owned or operated by TMR including, but not limited to: </w:t>
      </w:r>
    </w:p>
    <w:p w14:paraId="5A0B8E82" w14:textId="77777777" w:rsidR="002A0767" w:rsidRDefault="002A0767" w:rsidP="00E53EB4">
      <w:pPr>
        <w:pStyle w:val="ListParagraph"/>
        <w:numPr>
          <w:ilvl w:val="0"/>
          <w:numId w:val="6"/>
        </w:numPr>
        <w:spacing w:after="120" w:line="300" w:lineRule="atLeast"/>
        <w:contextualSpacing w:val="0"/>
      </w:pPr>
      <w:r>
        <w:t>s</w:t>
      </w:r>
      <w:r w:rsidRPr="00143239">
        <w:t>tate-controlled roads</w:t>
      </w:r>
      <w:r>
        <w:t xml:space="preserve"> (SCRs)</w:t>
      </w:r>
    </w:p>
    <w:p w14:paraId="0866FD5A" w14:textId="77777777" w:rsidR="002A0767" w:rsidRPr="00143239" w:rsidRDefault="002A0767" w:rsidP="00E53EB4">
      <w:pPr>
        <w:pStyle w:val="ListParagraph"/>
        <w:numPr>
          <w:ilvl w:val="0"/>
          <w:numId w:val="6"/>
        </w:numPr>
        <w:spacing w:after="120" w:line="300" w:lineRule="atLeast"/>
        <w:contextualSpacing w:val="0"/>
      </w:pPr>
      <w:r>
        <w:t>b</w:t>
      </w:r>
      <w:r w:rsidRPr="00143239">
        <w:t>ridges</w:t>
      </w:r>
    </w:p>
    <w:p w14:paraId="72121D4A" w14:textId="77777777" w:rsidR="002A0767" w:rsidRPr="00143239" w:rsidRDefault="002A0767" w:rsidP="00E53EB4">
      <w:pPr>
        <w:pStyle w:val="ListParagraph"/>
        <w:numPr>
          <w:ilvl w:val="0"/>
          <w:numId w:val="6"/>
        </w:numPr>
        <w:spacing w:after="120" w:line="300" w:lineRule="atLeast"/>
        <w:contextualSpacing w:val="0"/>
      </w:pPr>
      <w:r>
        <w:t>b</w:t>
      </w:r>
      <w:r w:rsidRPr="00143239">
        <w:t>ikeways</w:t>
      </w:r>
    </w:p>
    <w:p w14:paraId="3BFA978B" w14:textId="77777777" w:rsidR="002A0767" w:rsidRPr="00143239" w:rsidRDefault="002A0767" w:rsidP="00E53EB4">
      <w:pPr>
        <w:pStyle w:val="ListParagraph"/>
        <w:numPr>
          <w:ilvl w:val="0"/>
          <w:numId w:val="6"/>
        </w:numPr>
        <w:spacing w:after="120" w:line="300" w:lineRule="atLeast"/>
        <w:contextualSpacing w:val="0"/>
      </w:pPr>
      <w:r>
        <w:t>w</w:t>
      </w:r>
      <w:r w:rsidRPr="00143239">
        <w:t>alkways and pedestrian overpasses</w:t>
      </w:r>
    </w:p>
    <w:p w14:paraId="17948C7C" w14:textId="77777777" w:rsidR="002A0767" w:rsidRPr="00143239" w:rsidRDefault="002A0767" w:rsidP="00E53EB4">
      <w:pPr>
        <w:pStyle w:val="ListParagraph"/>
        <w:numPr>
          <w:ilvl w:val="0"/>
          <w:numId w:val="6"/>
        </w:numPr>
        <w:spacing w:after="120" w:line="300" w:lineRule="atLeast"/>
        <w:contextualSpacing w:val="0"/>
      </w:pPr>
      <w:r>
        <w:t>r</w:t>
      </w:r>
      <w:r w:rsidRPr="00143239">
        <w:t>ail overpasses</w:t>
      </w:r>
    </w:p>
    <w:p w14:paraId="38DE347C" w14:textId="77777777" w:rsidR="002A0767" w:rsidRPr="00143239" w:rsidRDefault="002A0767" w:rsidP="00E53EB4">
      <w:pPr>
        <w:pStyle w:val="ListParagraph"/>
        <w:numPr>
          <w:ilvl w:val="0"/>
          <w:numId w:val="6"/>
        </w:numPr>
        <w:spacing w:after="120" w:line="300" w:lineRule="atLeast"/>
        <w:contextualSpacing w:val="0"/>
      </w:pPr>
      <w:r>
        <w:t>rest areas</w:t>
      </w:r>
    </w:p>
    <w:p w14:paraId="3F903ECE" w14:textId="77777777" w:rsidR="002A0767" w:rsidRDefault="002A0767" w:rsidP="00E53EB4">
      <w:pPr>
        <w:pStyle w:val="ListParagraph"/>
        <w:numPr>
          <w:ilvl w:val="0"/>
          <w:numId w:val="6"/>
        </w:numPr>
        <w:spacing w:after="120" w:line="300" w:lineRule="atLeast"/>
        <w:contextualSpacing w:val="0"/>
      </w:pPr>
      <w:r>
        <w:t>busways, busway stations, bus stations and bus stops</w:t>
      </w:r>
    </w:p>
    <w:p w14:paraId="1BC642CC" w14:textId="77777777" w:rsidR="002A0767" w:rsidRDefault="002A0767" w:rsidP="00E53EB4">
      <w:pPr>
        <w:pStyle w:val="ListParagraph"/>
        <w:numPr>
          <w:ilvl w:val="0"/>
          <w:numId w:val="6"/>
        </w:numPr>
        <w:spacing w:after="120" w:line="300" w:lineRule="atLeast"/>
        <w:contextualSpacing w:val="0"/>
      </w:pPr>
      <w:r>
        <w:t>park n ride facilities</w:t>
      </w:r>
    </w:p>
    <w:p w14:paraId="1FFD5D69" w14:textId="77777777" w:rsidR="002A0767" w:rsidRPr="00143239" w:rsidRDefault="002A0767" w:rsidP="00E53EB4">
      <w:pPr>
        <w:pStyle w:val="ListParagraph"/>
        <w:numPr>
          <w:ilvl w:val="0"/>
          <w:numId w:val="6"/>
        </w:numPr>
        <w:spacing w:after="120" w:line="300" w:lineRule="atLeast"/>
        <w:contextualSpacing w:val="0"/>
      </w:pPr>
      <w:r>
        <w:t>bus layover and driver amenities</w:t>
      </w:r>
    </w:p>
    <w:p w14:paraId="55F53BB1" w14:textId="192CFFDB" w:rsidR="002A0767" w:rsidRDefault="002A0767" w:rsidP="00E53EB4">
      <w:pPr>
        <w:pStyle w:val="ListParagraph"/>
        <w:numPr>
          <w:ilvl w:val="0"/>
          <w:numId w:val="6"/>
        </w:numPr>
        <w:spacing w:after="120" w:line="300" w:lineRule="atLeast"/>
        <w:contextualSpacing w:val="0"/>
      </w:pPr>
      <w:r>
        <w:t>tram</w:t>
      </w:r>
      <w:r w:rsidR="00835CE2" w:rsidRPr="00347462">
        <w:t>/light rail</w:t>
      </w:r>
      <w:r>
        <w:t xml:space="preserve"> stations</w:t>
      </w:r>
    </w:p>
    <w:p w14:paraId="3BFFD822" w14:textId="77777777" w:rsidR="002A0767" w:rsidRPr="00143239" w:rsidRDefault="002A0767" w:rsidP="00E53EB4">
      <w:pPr>
        <w:pStyle w:val="ListParagraph"/>
        <w:numPr>
          <w:ilvl w:val="0"/>
          <w:numId w:val="6"/>
        </w:numPr>
        <w:spacing w:after="120" w:line="300" w:lineRule="atLeast"/>
        <w:contextualSpacing w:val="0"/>
      </w:pPr>
      <w:r>
        <w:t>aids to navigation (AtoN)</w:t>
      </w:r>
    </w:p>
    <w:p w14:paraId="61135A3B" w14:textId="1A14D4A4" w:rsidR="002A0767" w:rsidRDefault="002A0767" w:rsidP="00E53EB4">
      <w:pPr>
        <w:pStyle w:val="ListParagraph"/>
        <w:numPr>
          <w:ilvl w:val="0"/>
          <w:numId w:val="6"/>
        </w:numPr>
        <w:spacing w:after="120" w:line="300" w:lineRule="atLeast"/>
        <w:contextualSpacing w:val="0"/>
      </w:pPr>
      <w:r>
        <w:t xml:space="preserve">jetties, pontoons and </w:t>
      </w:r>
      <w:r w:rsidRPr="00143239">
        <w:t>boat ramps</w:t>
      </w:r>
    </w:p>
    <w:p w14:paraId="7B1CAD40" w14:textId="77777777" w:rsidR="004C0DE4" w:rsidRPr="00347462" w:rsidRDefault="002A0767" w:rsidP="00E53EB4">
      <w:pPr>
        <w:pStyle w:val="ListParagraph"/>
        <w:numPr>
          <w:ilvl w:val="0"/>
          <w:numId w:val="6"/>
        </w:numPr>
        <w:spacing w:after="120" w:line="300" w:lineRule="atLeast"/>
        <w:contextualSpacing w:val="0"/>
      </w:pPr>
      <w:r w:rsidRPr="00347462">
        <w:t>state-owned tunnels</w:t>
      </w:r>
    </w:p>
    <w:p w14:paraId="70BEC64E" w14:textId="1C1B4889" w:rsidR="004C0DE4" w:rsidRPr="00347462" w:rsidRDefault="00835CE2" w:rsidP="00E53EB4">
      <w:pPr>
        <w:pStyle w:val="ListParagraph"/>
        <w:numPr>
          <w:ilvl w:val="0"/>
          <w:numId w:val="6"/>
        </w:numPr>
        <w:spacing w:after="120" w:line="300" w:lineRule="atLeast"/>
        <w:contextualSpacing w:val="0"/>
      </w:pPr>
      <w:r w:rsidRPr="00347462">
        <w:t>train</w:t>
      </w:r>
      <w:r w:rsidR="004C0DE4" w:rsidRPr="00347462">
        <w:t xml:space="preserve"> stations</w:t>
      </w:r>
      <w:r w:rsidRPr="00347462">
        <w:t xml:space="preserve"> operated by QR</w:t>
      </w:r>
    </w:p>
    <w:p w14:paraId="3E796705" w14:textId="3EF97C12" w:rsidR="002A0767" w:rsidRPr="00347462" w:rsidRDefault="004C0DE4" w:rsidP="00E53EB4">
      <w:pPr>
        <w:pStyle w:val="ListParagraph"/>
        <w:numPr>
          <w:ilvl w:val="0"/>
          <w:numId w:val="6"/>
        </w:numPr>
        <w:spacing w:after="120" w:line="300" w:lineRule="atLeast"/>
        <w:contextualSpacing w:val="0"/>
      </w:pPr>
      <w:r w:rsidRPr="00347462">
        <w:lastRenderedPageBreak/>
        <w:t>ferry wharves</w:t>
      </w:r>
      <w:r w:rsidR="0057674D" w:rsidRPr="00347462">
        <w:t>.</w:t>
      </w:r>
    </w:p>
    <w:p w14:paraId="5271FFA2" w14:textId="7E7D5C2D" w:rsidR="002A0767" w:rsidRDefault="002A0767" w:rsidP="00646A31">
      <w:pPr>
        <w:pStyle w:val="Heading3"/>
      </w:pPr>
      <w:bookmarkStart w:id="9" w:name="_Toc210731138"/>
      <w:bookmarkStart w:id="10" w:name="_Toc215151597"/>
      <w:r>
        <w:t>Out of scope</w:t>
      </w:r>
      <w:bookmarkEnd w:id="9"/>
      <w:bookmarkEnd w:id="10"/>
    </w:p>
    <w:p w14:paraId="7A68DB5D" w14:textId="77777777" w:rsidR="002A0767" w:rsidRPr="00FB0688" w:rsidRDefault="002A0767" w:rsidP="00E53EB4">
      <w:pPr>
        <w:spacing w:after="120" w:line="300" w:lineRule="atLeast"/>
      </w:pPr>
      <w:r>
        <w:t>The following are not included within the scope of this policy:</w:t>
      </w:r>
    </w:p>
    <w:p w14:paraId="23B4861C" w14:textId="77777777" w:rsidR="002A0767" w:rsidRPr="004E1543" w:rsidRDefault="002A0767" w:rsidP="00E53EB4">
      <w:pPr>
        <w:pStyle w:val="ListParagraph"/>
        <w:numPr>
          <w:ilvl w:val="0"/>
          <w:numId w:val="6"/>
        </w:numPr>
        <w:spacing w:after="120" w:line="300" w:lineRule="atLeast"/>
        <w:contextualSpacing w:val="0"/>
      </w:pPr>
      <w:r>
        <w:t>a</w:t>
      </w:r>
      <w:r w:rsidRPr="004E1543">
        <w:t xml:space="preserve"> ‘place’ as defined under the </w:t>
      </w:r>
      <w:r w:rsidRPr="00A50540">
        <w:rPr>
          <w:i/>
          <w:iCs/>
        </w:rPr>
        <w:t>Place Names Act 1994</w:t>
      </w:r>
    </w:p>
    <w:p w14:paraId="5F899572" w14:textId="77777777" w:rsidR="002A0767" w:rsidRDefault="002A0767" w:rsidP="00E53EB4">
      <w:pPr>
        <w:pStyle w:val="ListParagraph"/>
        <w:numPr>
          <w:ilvl w:val="0"/>
          <w:numId w:val="6"/>
        </w:numPr>
        <w:spacing w:after="120" w:line="300" w:lineRule="atLeast"/>
        <w:contextualSpacing w:val="0"/>
      </w:pPr>
      <w:r>
        <w:t>existing named infrastructure unless section 3.8 (Renaming) applies</w:t>
      </w:r>
    </w:p>
    <w:p w14:paraId="3C3715E0" w14:textId="77777777" w:rsidR="002A0767" w:rsidRDefault="002A0767" w:rsidP="00E53EB4">
      <w:pPr>
        <w:pStyle w:val="ListParagraph"/>
        <w:numPr>
          <w:ilvl w:val="0"/>
          <w:numId w:val="6"/>
        </w:numPr>
        <w:spacing w:after="120" w:line="300" w:lineRule="atLeast"/>
        <w:contextualSpacing w:val="0"/>
      </w:pPr>
      <w:r>
        <w:t>sub-sections of a state-controlled road</w:t>
      </w:r>
    </w:p>
    <w:p w14:paraId="284EF596" w14:textId="77777777" w:rsidR="002A0767" w:rsidRDefault="002A0767" w:rsidP="00E53EB4">
      <w:pPr>
        <w:pStyle w:val="ListParagraph"/>
        <w:numPr>
          <w:ilvl w:val="0"/>
          <w:numId w:val="6"/>
        </w:numPr>
        <w:spacing w:after="120" w:line="300" w:lineRule="atLeast"/>
        <w:contextualSpacing w:val="0"/>
      </w:pPr>
      <w:r>
        <w:t>intersections, including roundabouts</w:t>
      </w:r>
    </w:p>
    <w:p w14:paraId="70E1D413" w14:textId="77777777" w:rsidR="002A0767" w:rsidRDefault="002A0767" w:rsidP="00E53EB4">
      <w:pPr>
        <w:pStyle w:val="ListParagraph"/>
        <w:numPr>
          <w:ilvl w:val="0"/>
          <w:numId w:val="6"/>
        </w:numPr>
        <w:spacing w:after="120" w:line="300" w:lineRule="atLeast"/>
        <w:contextualSpacing w:val="0"/>
      </w:pPr>
      <w:r>
        <w:t>vehicles or vessels owned or operated by TMR</w:t>
      </w:r>
    </w:p>
    <w:p w14:paraId="2291D384" w14:textId="77777777" w:rsidR="002A0767" w:rsidRDefault="002A0767" w:rsidP="00E53EB4">
      <w:pPr>
        <w:pStyle w:val="ListParagraph"/>
        <w:numPr>
          <w:ilvl w:val="0"/>
          <w:numId w:val="6"/>
        </w:numPr>
        <w:spacing w:after="120" w:line="300" w:lineRule="atLeast"/>
        <w:contextualSpacing w:val="0"/>
      </w:pPr>
      <w:r w:rsidRPr="0045406F">
        <w:t>assets owned by local government, and anything generally not owned or operated by TMR</w:t>
      </w:r>
    </w:p>
    <w:p w14:paraId="4F6C371C" w14:textId="77777777" w:rsidR="002A0767" w:rsidRDefault="002A0767" w:rsidP="00E53EB4">
      <w:pPr>
        <w:pStyle w:val="ListParagraph"/>
        <w:numPr>
          <w:ilvl w:val="0"/>
          <w:numId w:val="6"/>
        </w:numPr>
        <w:spacing w:after="120" w:line="300" w:lineRule="atLeast"/>
        <w:contextualSpacing w:val="0"/>
      </w:pPr>
      <w:r>
        <w:t>commercial naming arrangements</w:t>
      </w:r>
      <w:r w:rsidRPr="0045406F">
        <w:t>.</w:t>
      </w:r>
    </w:p>
    <w:p w14:paraId="058B03F1" w14:textId="77777777" w:rsidR="002A0767" w:rsidRPr="002A135E" w:rsidRDefault="002A0767" w:rsidP="00646A31">
      <w:pPr>
        <w:pStyle w:val="Heading2"/>
      </w:pPr>
      <w:bookmarkStart w:id="11" w:name="_Toc210731139"/>
      <w:bookmarkStart w:id="12" w:name="_Toc215151598"/>
      <w:r w:rsidRPr="002A135E">
        <w:t>Legislative head of power</w:t>
      </w:r>
      <w:bookmarkEnd w:id="11"/>
      <w:bookmarkEnd w:id="12"/>
    </w:p>
    <w:p w14:paraId="4122F510" w14:textId="77777777" w:rsidR="002A0767" w:rsidRPr="00481013" w:rsidRDefault="002A0767" w:rsidP="00E53EB4">
      <w:pPr>
        <w:pStyle w:val="BodyText"/>
        <w:numPr>
          <w:ilvl w:val="0"/>
          <w:numId w:val="8"/>
        </w:numPr>
        <w:spacing w:before="120"/>
        <w:rPr>
          <w:sz w:val="24"/>
          <w:szCs w:val="24"/>
        </w:rPr>
      </w:pPr>
      <w:r w:rsidRPr="00481013">
        <w:rPr>
          <w:sz w:val="24"/>
          <w:szCs w:val="24"/>
        </w:rPr>
        <w:t xml:space="preserve">The </w:t>
      </w:r>
      <w:r w:rsidRPr="00481013">
        <w:rPr>
          <w:i/>
          <w:sz w:val="24"/>
          <w:szCs w:val="24"/>
        </w:rPr>
        <w:t>Transport Infrastructure Act 1994</w:t>
      </w:r>
      <w:r w:rsidRPr="00481013">
        <w:rPr>
          <w:sz w:val="24"/>
          <w:szCs w:val="24"/>
        </w:rPr>
        <w:t xml:space="preserve"> is the governing legislation for management of transport infrastructure in Queensland.</w:t>
      </w:r>
    </w:p>
    <w:p w14:paraId="75204FB6" w14:textId="77777777" w:rsidR="002A0767" w:rsidRPr="00481013" w:rsidRDefault="002A0767" w:rsidP="00E53EB4">
      <w:pPr>
        <w:pStyle w:val="BodyText"/>
        <w:numPr>
          <w:ilvl w:val="0"/>
          <w:numId w:val="7"/>
        </w:numPr>
        <w:spacing w:before="120"/>
        <w:rPr>
          <w:rFonts w:ascii="Arial" w:eastAsia="Calibri" w:hAnsi="Arial" w:cs="Arial"/>
          <w:b/>
          <w:sz w:val="24"/>
          <w:szCs w:val="24"/>
        </w:rPr>
      </w:pPr>
      <w:r w:rsidRPr="00481013">
        <w:rPr>
          <w:rFonts w:ascii="Arial" w:eastAsia="Calibri" w:hAnsi="Arial" w:cs="Arial"/>
          <w:b/>
          <w:sz w:val="24"/>
          <w:szCs w:val="24"/>
        </w:rPr>
        <w:t>State-controlled roads</w:t>
      </w:r>
    </w:p>
    <w:p w14:paraId="739EDE58" w14:textId="77777777" w:rsidR="002A0767" w:rsidRPr="00481013" w:rsidRDefault="002A0767" w:rsidP="00E53EB4">
      <w:pPr>
        <w:pStyle w:val="BodyText"/>
        <w:ind w:left="720"/>
        <w:rPr>
          <w:rFonts w:ascii="Arial" w:eastAsia="Calibri" w:hAnsi="Arial" w:cs="Arial"/>
          <w:sz w:val="24"/>
          <w:szCs w:val="24"/>
        </w:rPr>
      </w:pPr>
      <w:r w:rsidRPr="00481013">
        <w:rPr>
          <w:rFonts w:ascii="Arial" w:eastAsia="Calibri" w:hAnsi="Arial" w:cs="Arial"/>
          <w:sz w:val="24"/>
          <w:szCs w:val="24"/>
        </w:rPr>
        <w:t>Chapter 6 (Road transport infrastructure), Part 5 (Management of State-controlled roads), Part 2 (State-controlled roads), Division 1, section 24 (Declaration of State-controlled roads) and section 25 (Consultation before declaration)</w:t>
      </w:r>
    </w:p>
    <w:p w14:paraId="30C4BF18" w14:textId="77777777" w:rsidR="002A0767" w:rsidRPr="00481013" w:rsidRDefault="002A0767" w:rsidP="00E53EB4">
      <w:pPr>
        <w:pStyle w:val="BodyText"/>
        <w:numPr>
          <w:ilvl w:val="0"/>
          <w:numId w:val="7"/>
        </w:numPr>
        <w:spacing w:before="120"/>
        <w:rPr>
          <w:rFonts w:ascii="Arial" w:eastAsia="Calibri" w:hAnsi="Arial" w:cs="Arial"/>
          <w:b/>
          <w:sz w:val="24"/>
          <w:szCs w:val="24"/>
        </w:rPr>
      </w:pPr>
      <w:r w:rsidRPr="00481013">
        <w:rPr>
          <w:rFonts w:ascii="Arial" w:eastAsia="Calibri" w:hAnsi="Arial" w:cs="Arial"/>
          <w:b/>
          <w:sz w:val="24"/>
          <w:szCs w:val="24"/>
        </w:rPr>
        <w:t>Heavy rail</w:t>
      </w:r>
    </w:p>
    <w:p w14:paraId="06E3CF91" w14:textId="77777777" w:rsidR="002A0767" w:rsidRPr="00481013" w:rsidRDefault="002A0767" w:rsidP="00E53EB4">
      <w:pPr>
        <w:pStyle w:val="BodyText"/>
        <w:ind w:left="720"/>
        <w:rPr>
          <w:rFonts w:ascii="Arial" w:eastAsia="Calibri" w:hAnsi="Arial" w:cs="Arial"/>
          <w:sz w:val="24"/>
          <w:szCs w:val="24"/>
        </w:rPr>
      </w:pPr>
      <w:r w:rsidRPr="00481013">
        <w:rPr>
          <w:rFonts w:ascii="Arial" w:eastAsia="Calibri" w:hAnsi="Arial" w:cs="Arial"/>
          <w:sz w:val="24"/>
          <w:szCs w:val="24"/>
        </w:rPr>
        <w:t xml:space="preserve">Chapter 7 (Rail transport infrastructure and other matters) </w:t>
      </w:r>
    </w:p>
    <w:p w14:paraId="6C9EAAF7" w14:textId="77777777" w:rsidR="002A0767" w:rsidRPr="00481013" w:rsidRDefault="002A0767" w:rsidP="00E53EB4">
      <w:pPr>
        <w:pStyle w:val="BodyText"/>
        <w:numPr>
          <w:ilvl w:val="0"/>
          <w:numId w:val="7"/>
        </w:numPr>
        <w:spacing w:before="120"/>
        <w:rPr>
          <w:rFonts w:ascii="Arial" w:eastAsia="Calibri" w:hAnsi="Arial" w:cs="Arial"/>
          <w:b/>
          <w:sz w:val="24"/>
          <w:szCs w:val="24"/>
        </w:rPr>
      </w:pPr>
      <w:r w:rsidRPr="00481013">
        <w:rPr>
          <w:rFonts w:ascii="Arial" w:eastAsia="Calibri" w:hAnsi="Arial" w:cs="Arial"/>
          <w:b/>
          <w:sz w:val="24"/>
          <w:szCs w:val="24"/>
        </w:rPr>
        <w:t>Busways</w:t>
      </w:r>
    </w:p>
    <w:p w14:paraId="1E11B5E7" w14:textId="77777777" w:rsidR="002A0767" w:rsidRPr="00481013" w:rsidRDefault="002A0767" w:rsidP="00E53EB4">
      <w:pPr>
        <w:pStyle w:val="BodyText"/>
        <w:ind w:left="720"/>
        <w:rPr>
          <w:rFonts w:ascii="Arial" w:eastAsia="Calibri" w:hAnsi="Arial" w:cs="Arial"/>
          <w:sz w:val="24"/>
          <w:szCs w:val="24"/>
        </w:rPr>
      </w:pPr>
      <w:r w:rsidRPr="00481013">
        <w:rPr>
          <w:rFonts w:ascii="Arial" w:eastAsia="Calibri" w:hAnsi="Arial" w:cs="Arial"/>
          <w:sz w:val="24"/>
          <w:szCs w:val="24"/>
        </w:rPr>
        <w:t xml:space="preserve">Chapter 9 (Busways and busway transport infrastructure) </w:t>
      </w:r>
    </w:p>
    <w:p w14:paraId="287C0F40" w14:textId="77777777" w:rsidR="002A0767" w:rsidRPr="00481013" w:rsidRDefault="002A0767" w:rsidP="00E53EB4">
      <w:pPr>
        <w:pStyle w:val="BodyText"/>
        <w:numPr>
          <w:ilvl w:val="0"/>
          <w:numId w:val="7"/>
        </w:numPr>
        <w:spacing w:before="120"/>
        <w:rPr>
          <w:rFonts w:ascii="Arial" w:eastAsia="Calibri" w:hAnsi="Arial" w:cs="Arial"/>
          <w:b/>
          <w:sz w:val="24"/>
          <w:szCs w:val="24"/>
        </w:rPr>
      </w:pPr>
      <w:r w:rsidRPr="00481013">
        <w:rPr>
          <w:rFonts w:ascii="Arial" w:eastAsia="Calibri" w:hAnsi="Arial" w:cs="Arial"/>
          <w:b/>
          <w:sz w:val="24"/>
          <w:szCs w:val="24"/>
        </w:rPr>
        <w:t>Light rail</w:t>
      </w:r>
    </w:p>
    <w:p w14:paraId="3A61C3CC" w14:textId="77777777" w:rsidR="002A0767" w:rsidRPr="00481013" w:rsidRDefault="002A0767" w:rsidP="00E53EB4">
      <w:pPr>
        <w:pStyle w:val="BodyText"/>
        <w:ind w:left="720"/>
        <w:rPr>
          <w:rFonts w:ascii="Arial" w:eastAsia="Calibri" w:hAnsi="Arial" w:cs="Arial"/>
          <w:sz w:val="24"/>
          <w:szCs w:val="24"/>
        </w:rPr>
      </w:pPr>
      <w:r w:rsidRPr="00481013">
        <w:rPr>
          <w:rFonts w:ascii="Arial" w:eastAsia="Calibri" w:hAnsi="Arial" w:cs="Arial"/>
          <w:sz w:val="24"/>
          <w:szCs w:val="24"/>
        </w:rPr>
        <w:t>Chapter 10 (Light rail and light rail transport infrastructure)</w:t>
      </w:r>
    </w:p>
    <w:p w14:paraId="53A12FC4" w14:textId="77777777" w:rsidR="002A0767" w:rsidRPr="00481013" w:rsidRDefault="002A0767" w:rsidP="00E53EB4">
      <w:pPr>
        <w:pStyle w:val="BodyText"/>
        <w:numPr>
          <w:ilvl w:val="0"/>
          <w:numId w:val="7"/>
        </w:numPr>
        <w:spacing w:before="120"/>
        <w:rPr>
          <w:rFonts w:ascii="Arial" w:eastAsia="Calibri" w:hAnsi="Arial" w:cs="Arial"/>
          <w:b/>
          <w:sz w:val="24"/>
          <w:szCs w:val="24"/>
        </w:rPr>
      </w:pPr>
      <w:r w:rsidRPr="00481013">
        <w:rPr>
          <w:rFonts w:ascii="Arial" w:eastAsia="Calibri" w:hAnsi="Arial" w:cs="Arial"/>
          <w:b/>
          <w:sz w:val="24"/>
          <w:szCs w:val="24"/>
        </w:rPr>
        <w:t>Marine</w:t>
      </w:r>
    </w:p>
    <w:p w14:paraId="69B2570E" w14:textId="77777777" w:rsidR="002A0767" w:rsidRDefault="002A0767" w:rsidP="00E53EB4">
      <w:pPr>
        <w:pStyle w:val="BodyText"/>
        <w:ind w:left="720"/>
        <w:rPr>
          <w:rFonts w:ascii="Arial" w:eastAsia="Calibri" w:hAnsi="Arial" w:cs="Arial"/>
          <w:sz w:val="24"/>
          <w:szCs w:val="24"/>
        </w:rPr>
      </w:pPr>
      <w:r w:rsidRPr="00481013">
        <w:rPr>
          <w:rFonts w:ascii="Arial" w:eastAsia="Calibri" w:hAnsi="Arial" w:cs="Arial"/>
          <w:sz w:val="24"/>
          <w:szCs w:val="24"/>
        </w:rPr>
        <w:t>Chapter 15 (Public marine transport infrastructure)</w:t>
      </w:r>
    </w:p>
    <w:p w14:paraId="79C2A0A7" w14:textId="77777777" w:rsidR="002A0767" w:rsidRPr="005E6FE9" w:rsidRDefault="002A0767" w:rsidP="00646A31">
      <w:pPr>
        <w:pStyle w:val="Heading3"/>
      </w:pPr>
      <w:bookmarkStart w:id="13" w:name="_Toc210731140"/>
      <w:bookmarkStart w:id="14" w:name="_Toc215151599"/>
      <w:r w:rsidRPr="005E6FE9">
        <w:t>Other legislation and policies</w:t>
      </w:r>
      <w:bookmarkEnd w:id="13"/>
      <w:bookmarkEnd w:id="14"/>
    </w:p>
    <w:p w14:paraId="3A9A2E70" w14:textId="77777777" w:rsidR="002A0767" w:rsidRPr="00E10A0C" w:rsidRDefault="002A0767" w:rsidP="00E53EB4">
      <w:pPr>
        <w:pStyle w:val="ListParagraph"/>
        <w:numPr>
          <w:ilvl w:val="0"/>
          <w:numId w:val="6"/>
        </w:numPr>
        <w:spacing w:after="120" w:line="300" w:lineRule="atLeast"/>
        <w:contextualSpacing w:val="0"/>
        <w:rPr>
          <w:i/>
          <w:iCs/>
        </w:rPr>
      </w:pPr>
      <w:r w:rsidRPr="00E10A0C">
        <w:rPr>
          <w:i/>
          <w:iCs/>
        </w:rPr>
        <w:t>Transport Operations (Road Use Management) Act 1995</w:t>
      </w:r>
    </w:p>
    <w:p w14:paraId="47F45D9F" w14:textId="77777777" w:rsidR="002A0767" w:rsidRPr="00E10A0C" w:rsidRDefault="002A0767" w:rsidP="00E53EB4">
      <w:pPr>
        <w:pStyle w:val="ListParagraph"/>
        <w:numPr>
          <w:ilvl w:val="0"/>
          <w:numId w:val="6"/>
        </w:numPr>
        <w:spacing w:after="120" w:line="300" w:lineRule="atLeast"/>
        <w:contextualSpacing w:val="0"/>
        <w:rPr>
          <w:i/>
          <w:iCs/>
        </w:rPr>
      </w:pPr>
      <w:r w:rsidRPr="00E10A0C">
        <w:rPr>
          <w:i/>
          <w:iCs/>
        </w:rPr>
        <w:t>Transport Operations (Passenger Transport) Act 1994</w:t>
      </w:r>
    </w:p>
    <w:p w14:paraId="04B87BED" w14:textId="77777777" w:rsidR="002A0767" w:rsidRPr="00E10A0C" w:rsidRDefault="002A0767" w:rsidP="00E53EB4">
      <w:pPr>
        <w:pStyle w:val="ListParagraph"/>
        <w:numPr>
          <w:ilvl w:val="0"/>
          <w:numId w:val="6"/>
        </w:numPr>
        <w:spacing w:after="120" w:line="300" w:lineRule="atLeast"/>
        <w:contextualSpacing w:val="0"/>
        <w:rPr>
          <w:i/>
          <w:iCs/>
        </w:rPr>
      </w:pPr>
      <w:r w:rsidRPr="00E10A0C">
        <w:rPr>
          <w:i/>
          <w:iCs/>
        </w:rPr>
        <w:lastRenderedPageBreak/>
        <w:t>Transport Operations (Marine Safety) Act 1994</w:t>
      </w:r>
    </w:p>
    <w:p w14:paraId="3476DA70" w14:textId="77777777" w:rsidR="002A0767" w:rsidRPr="00E10A0C" w:rsidRDefault="002A0767" w:rsidP="00E53EB4">
      <w:pPr>
        <w:pStyle w:val="ListParagraph"/>
        <w:numPr>
          <w:ilvl w:val="0"/>
          <w:numId w:val="6"/>
        </w:numPr>
        <w:spacing w:after="120" w:line="300" w:lineRule="atLeast"/>
        <w:contextualSpacing w:val="0"/>
        <w:rPr>
          <w:i/>
          <w:iCs/>
        </w:rPr>
      </w:pPr>
      <w:r w:rsidRPr="00E10A0C">
        <w:rPr>
          <w:i/>
          <w:iCs/>
        </w:rPr>
        <w:t>Place Names Act 1994</w:t>
      </w:r>
    </w:p>
    <w:p w14:paraId="4EA6BC06" w14:textId="77777777" w:rsidR="002A0767" w:rsidRPr="00E53EB4" w:rsidRDefault="002A0767" w:rsidP="00E53EB4">
      <w:pPr>
        <w:pStyle w:val="ListParagraph"/>
        <w:numPr>
          <w:ilvl w:val="0"/>
          <w:numId w:val="6"/>
        </w:numPr>
        <w:spacing w:after="120" w:line="300" w:lineRule="atLeast"/>
        <w:contextualSpacing w:val="0"/>
      </w:pPr>
      <w:r w:rsidRPr="00E53EB4">
        <w:t>AS/NZS 4819:2011 Rural and Urban Addressing</w:t>
      </w:r>
    </w:p>
    <w:p w14:paraId="6D881B00" w14:textId="55A3EE1E" w:rsidR="002A0767" w:rsidRPr="00F83409" w:rsidRDefault="002A0767" w:rsidP="00E53EB4">
      <w:pPr>
        <w:pStyle w:val="ListParagraph"/>
        <w:numPr>
          <w:ilvl w:val="0"/>
          <w:numId w:val="6"/>
        </w:numPr>
        <w:spacing w:after="120" w:line="300" w:lineRule="atLeast"/>
        <w:contextualSpacing w:val="0"/>
      </w:pPr>
      <w:r>
        <w:t>Manual of Uniform Traffic Control Devices (TMR)</w:t>
      </w:r>
      <w:r w:rsidR="00251412">
        <w:t>.</w:t>
      </w:r>
    </w:p>
    <w:p w14:paraId="1980D3A0" w14:textId="18F898A9" w:rsidR="002A0767" w:rsidRPr="00E57196" w:rsidRDefault="002A0767" w:rsidP="00646A31">
      <w:pPr>
        <w:pStyle w:val="Heading1"/>
      </w:pPr>
      <w:bookmarkStart w:id="15" w:name="_Toc210731141"/>
      <w:bookmarkStart w:id="16" w:name="_Toc215151600"/>
      <w:r>
        <w:t>Context</w:t>
      </w:r>
      <w:bookmarkEnd w:id="15"/>
      <w:bookmarkEnd w:id="16"/>
    </w:p>
    <w:p w14:paraId="7E436814" w14:textId="77777777" w:rsidR="002A0767" w:rsidRDefault="002A0767" w:rsidP="00646A31">
      <w:pPr>
        <w:pStyle w:val="Heading2"/>
      </w:pPr>
      <w:bookmarkStart w:id="17" w:name="_Toc210731142"/>
      <w:bookmarkStart w:id="18" w:name="_Toc215151601"/>
      <w:r>
        <w:t>Purpose</w:t>
      </w:r>
      <w:bookmarkEnd w:id="17"/>
      <w:bookmarkEnd w:id="18"/>
      <w:r>
        <w:t xml:space="preserve"> </w:t>
      </w:r>
    </w:p>
    <w:p w14:paraId="7AFCC7FD" w14:textId="77777777" w:rsidR="002A0767" w:rsidRDefault="002A0767" w:rsidP="00E53EB4">
      <w:pPr>
        <w:spacing w:after="120" w:line="300" w:lineRule="atLeast"/>
      </w:pPr>
      <w:r w:rsidRPr="001D604F">
        <w:t>T</w:t>
      </w:r>
      <w:r>
        <w:t>he purpose of this policy is to:</w:t>
      </w:r>
    </w:p>
    <w:p w14:paraId="4E913782" w14:textId="77777777" w:rsidR="002A0767" w:rsidRPr="0045406F" w:rsidRDefault="002A0767" w:rsidP="00E53EB4">
      <w:pPr>
        <w:pStyle w:val="ListParagraph"/>
        <w:numPr>
          <w:ilvl w:val="0"/>
          <w:numId w:val="5"/>
        </w:numPr>
        <w:spacing w:after="120" w:line="300" w:lineRule="atLeast"/>
        <w:contextualSpacing w:val="0"/>
      </w:pPr>
      <w:r w:rsidRPr="0045406F">
        <w:t xml:space="preserve">establish the principles that will be considered </w:t>
      </w:r>
      <w:r>
        <w:t xml:space="preserve">when naming transport </w:t>
      </w:r>
      <w:r w:rsidRPr="0045406F">
        <w:t>infrastructure</w:t>
      </w:r>
      <w:r>
        <w:t xml:space="preserve"> assets</w:t>
      </w:r>
      <w:r w:rsidRPr="0045406F">
        <w:t xml:space="preserve"> owned or operated by TMR</w:t>
      </w:r>
    </w:p>
    <w:p w14:paraId="340B6725" w14:textId="77777777" w:rsidR="002A0767" w:rsidRDefault="002A0767" w:rsidP="00E53EB4">
      <w:pPr>
        <w:pStyle w:val="ListParagraph"/>
        <w:numPr>
          <w:ilvl w:val="0"/>
          <w:numId w:val="5"/>
        </w:numPr>
        <w:spacing w:after="120" w:line="300" w:lineRule="atLeast"/>
        <w:contextualSpacing w:val="0"/>
      </w:pPr>
      <w:r>
        <w:t>identify who may submit a naming proposal for particular transport infrastructure assets.</w:t>
      </w:r>
    </w:p>
    <w:p w14:paraId="3480C604" w14:textId="77777777" w:rsidR="002A0767" w:rsidRPr="00BB63AA" w:rsidRDefault="002A0767" w:rsidP="003D17A2">
      <w:pPr>
        <w:pStyle w:val="Heading2"/>
        <w:jc w:val="both"/>
      </w:pPr>
      <w:bookmarkStart w:id="19" w:name="_Toc210731143"/>
      <w:bookmarkStart w:id="20" w:name="_Toc215151602"/>
      <w:r>
        <w:t>Background</w:t>
      </w:r>
      <w:bookmarkEnd w:id="19"/>
      <w:bookmarkEnd w:id="20"/>
    </w:p>
    <w:p w14:paraId="4B395D8C" w14:textId="77777777" w:rsidR="002A0767" w:rsidRPr="00EF5869" w:rsidRDefault="002A0767" w:rsidP="00A725AE">
      <w:pPr>
        <w:pStyle w:val="BodyText"/>
        <w:rPr>
          <w:rFonts w:ascii="Arial" w:hAnsi="Arial"/>
          <w:color w:val="2F2F2F" w:themeColor="text1" w:themeTint="E6"/>
          <w:sz w:val="24"/>
        </w:rPr>
      </w:pPr>
      <w:r w:rsidRPr="00EF5869">
        <w:rPr>
          <w:rFonts w:ascii="Arial" w:hAnsi="Arial"/>
          <w:color w:val="2F2F2F" w:themeColor="text1" w:themeTint="E6"/>
          <w:sz w:val="24"/>
        </w:rPr>
        <w:t>The name associated with transport infrastructure assets becomes a reference to use when referring to a spatial location. Naming supports critical functions including:</w:t>
      </w:r>
    </w:p>
    <w:p w14:paraId="72C69262" w14:textId="77777777" w:rsidR="002A0767" w:rsidRPr="00DE3F35" w:rsidRDefault="002A0767" w:rsidP="00E53EB4">
      <w:pPr>
        <w:pStyle w:val="ListParagraph"/>
        <w:numPr>
          <w:ilvl w:val="0"/>
          <w:numId w:val="6"/>
        </w:numPr>
        <w:spacing w:after="120" w:line="300" w:lineRule="atLeast"/>
        <w:contextualSpacing w:val="0"/>
      </w:pPr>
      <w:r>
        <w:t>n</w:t>
      </w:r>
      <w:r w:rsidRPr="00DE3F35">
        <w:t>avigation for emergency services</w:t>
      </w:r>
    </w:p>
    <w:p w14:paraId="46EAA13A" w14:textId="77777777" w:rsidR="002A0767" w:rsidRPr="00DE3F35" w:rsidRDefault="002A0767" w:rsidP="00E53EB4">
      <w:pPr>
        <w:pStyle w:val="ListParagraph"/>
        <w:numPr>
          <w:ilvl w:val="0"/>
          <w:numId w:val="6"/>
        </w:numPr>
        <w:spacing w:after="120" w:line="300" w:lineRule="atLeast"/>
        <w:contextualSpacing w:val="0"/>
      </w:pPr>
      <w:r>
        <w:t>local and tourism way</w:t>
      </w:r>
      <w:r w:rsidRPr="00DE3F35">
        <w:t>finding</w:t>
      </w:r>
    </w:p>
    <w:p w14:paraId="32381001" w14:textId="77777777" w:rsidR="002A0767" w:rsidRPr="00DE3F35" w:rsidRDefault="002A0767" w:rsidP="00E53EB4">
      <w:pPr>
        <w:pStyle w:val="ListParagraph"/>
        <w:numPr>
          <w:ilvl w:val="0"/>
          <w:numId w:val="6"/>
        </w:numPr>
        <w:spacing w:after="120" w:line="300" w:lineRule="atLeast"/>
        <w:contextualSpacing w:val="0"/>
      </w:pPr>
      <w:r>
        <w:t>h</w:t>
      </w:r>
      <w:r w:rsidRPr="00DE3F35">
        <w:t>istorical, cultural and heritage recognition</w:t>
      </w:r>
      <w:r>
        <w:t xml:space="preserve"> and identity</w:t>
      </w:r>
    </w:p>
    <w:p w14:paraId="2BCAB95A" w14:textId="77777777" w:rsidR="002A0767" w:rsidRPr="00DE3F35" w:rsidRDefault="002A0767" w:rsidP="00E53EB4">
      <w:pPr>
        <w:pStyle w:val="ListParagraph"/>
        <w:numPr>
          <w:ilvl w:val="0"/>
          <w:numId w:val="6"/>
        </w:numPr>
        <w:spacing w:after="120" w:line="300" w:lineRule="atLeast"/>
        <w:contextualSpacing w:val="0"/>
      </w:pPr>
      <w:r>
        <w:t>c</w:t>
      </w:r>
      <w:r w:rsidRPr="00DE3F35">
        <w:t>ommunications, including postal and news services</w:t>
      </w:r>
    </w:p>
    <w:p w14:paraId="1B357402" w14:textId="77777777" w:rsidR="002A0767" w:rsidRPr="00DE3F35" w:rsidRDefault="002A0767" w:rsidP="00E53EB4">
      <w:pPr>
        <w:pStyle w:val="ListParagraph"/>
        <w:numPr>
          <w:ilvl w:val="0"/>
          <w:numId w:val="6"/>
        </w:numPr>
        <w:spacing w:after="120" w:line="300" w:lineRule="atLeast"/>
        <w:contextualSpacing w:val="0"/>
      </w:pPr>
      <w:r>
        <w:t>u</w:t>
      </w:r>
      <w:r w:rsidRPr="00DE3F35">
        <w:t>rban and regional planning</w:t>
      </w:r>
    </w:p>
    <w:p w14:paraId="6CB0410C" w14:textId="77777777" w:rsidR="002A0767" w:rsidRPr="00347462" w:rsidRDefault="002A0767" w:rsidP="00E53EB4">
      <w:pPr>
        <w:pStyle w:val="ListParagraph"/>
        <w:numPr>
          <w:ilvl w:val="0"/>
          <w:numId w:val="6"/>
        </w:numPr>
        <w:spacing w:after="120" w:line="300" w:lineRule="atLeast"/>
        <w:contextualSpacing w:val="0"/>
      </w:pPr>
      <w:r w:rsidRPr="00347462">
        <w:t>map, atlas and navigation data production.</w:t>
      </w:r>
    </w:p>
    <w:p w14:paraId="40BC5EC6" w14:textId="60DFD6A9" w:rsidR="002A0767" w:rsidRPr="00347462"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 xml:space="preserve">The naming of ‘places’ is the responsibility of the Department of Natural Resources and Mines, Manufacturing and Regional and Rural Development under the </w:t>
      </w:r>
      <w:r w:rsidRPr="00347462">
        <w:rPr>
          <w:rFonts w:ascii="Arial" w:hAnsi="Arial"/>
          <w:i/>
          <w:iCs/>
          <w:color w:val="2F2F2F" w:themeColor="text1" w:themeTint="E6"/>
          <w:sz w:val="24"/>
        </w:rPr>
        <w:t>Place Names Act 1994</w:t>
      </w:r>
      <w:r w:rsidRPr="00347462">
        <w:rPr>
          <w:rFonts w:ascii="Arial" w:hAnsi="Arial"/>
          <w:color w:val="2F2F2F" w:themeColor="text1" w:themeTint="E6"/>
          <w:sz w:val="24"/>
        </w:rPr>
        <w:t xml:space="preserve">. The definition of ‘place’ does not include a road, as defined in the </w:t>
      </w:r>
      <w:r w:rsidRPr="00347462">
        <w:rPr>
          <w:rFonts w:ascii="Arial" w:hAnsi="Arial"/>
          <w:i/>
          <w:iCs/>
          <w:color w:val="2F2F2F" w:themeColor="text1" w:themeTint="E6"/>
          <w:sz w:val="24"/>
        </w:rPr>
        <w:t>Transport Operations (Road Use Management) Act</w:t>
      </w:r>
      <w:r w:rsidR="005F5876" w:rsidRPr="00347462">
        <w:rPr>
          <w:rFonts w:ascii="Arial" w:hAnsi="Arial"/>
          <w:i/>
          <w:iCs/>
          <w:color w:val="2F2F2F" w:themeColor="text1" w:themeTint="E6"/>
          <w:sz w:val="24"/>
        </w:rPr>
        <w:t xml:space="preserve"> 1995</w:t>
      </w:r>
      <w:r w:rsidRPr="00347462">
        <w:rPr>
          <w:rFonts w:ascii="Arial" w:hAnsi="Arial"/>
          <w:color w:val="2F2F2F" w:themeColor="text1" w:themeTint="E6"/>
          <w:sz w:val="24"/>
        </w:rPr>
        <w:t>, or a building or similar structure.</w:t>
      </w:r>
    </w:p>
    <w:p w14:paraId="158C9DAF" w14:textId="77777777" w:rsidR="002A0767" w:rsidRPr="001A0CBE"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TMR is responsible for the naming of:</w:t>
      </w:r>
    </w:p>
    <w:p w14:paraId="4E8A0E8D" w14:textId="77777777" w:rsidR="002A0767" w:rsidRDefault="002A0767" w:rsidP="00E53EB4">
      <w:pPr>
        <w:pStyle w:val="ListBullet"/>
        <w:spacing w:after="120" w:line="300" w:lineRule="atLeast"/>
        <w:contextualSpacing w:val="0"/>
      </w:pPr>
      <w:r w:rsidRPr="00DE3F35">
        <w:t>a</w:t>
      </w:r>
      <w:r>
        <w:t>n</w:t>
      </w:r>
      <w:r w:rsidRPr="00DE3F35">
        <w:t xml:space="preserve"> SCR</w:t>
      </w:r>
    </w:p>
    <w:p w14:paraId="215D181B" w14:textId="77777777" w:rsidR="002A0767" w:rsidRDefault="002A0767" w:rsidP="00E53EB4">
      <w:pPr>
        <w:pStyle w:val="ListBullet"/>
        <w:spacing w:after="120" w:line="300" w:lineRule="atLeast"/>
        <w:contextualSpacing w:val="0"/>
      </w:pPr>
      <w:r>
        <w:t>other parts of the</w:t>
      </w:r>
      <w:r w:rsidRPr="00DE3F35">
        <w:t xml:space="preserve"> transport </w:t>
      </w:r>
      <w:r>
        <w:t>network which it owns or operates, examples include marine infrastructure, busway and light rail stations.</w:t>
      </w:r>
    </w:p>
    <w:p w14:paraId="0B729855" w14:textId="77777777" w:rsidR="002A0767" w:rsidRDefault="002A0767" w:rsidP="00646A31">
      <w:pPr>
        <w:pStyle w:val="Heading2"/>
      </w:pPr>
      <w:bookmarkStart w:id="21" w:name="_Toc210731144"/>
      <w:bookmarkStart w:id="22" w:name="_Toc215151603"/>
      <w:r>
        <w:lastRenderedPageBreak/>
        <w:t>Objectives</w:t>
      </w:r>
      <w:bookmarkEnd w:id="21"/>
      <w:bookmarkEnd w:id="22"/>
      <w:r>
        <w:t xml:space="preserve"> </w:t>
      </w:r>
    </w:p>
    <w:p w14:paraId="464AA429" w14:textId="7B9A567D" w:rsidR="002A0767" w:rsidRPr="00347462" w:rsidRDefault="002A0767" w:rsidP="00A725AE">
      <w:pPr>
        <w:pStyle w:val="BodyText"/>
      </w:pPr>
      <w:r w:rsidRPr="00EA4F28">
        <w:rPr>
          <w:rFonts w:ascii="Arial" w:hAnsi="Arial"/>
          <w:color w:val="2F2F2F" w:themeColor="text1" w:themeTint="E6"/>
          <w:sz w:val="24"/>
        </w:rPr>
        <w:t xml:space="preserve">The objective of the policy is to ensure transparent and consistent decision making in relation to naming </w:t>
      </w:r>
      <w:r w:rsidRPr="00347462">
        <w:rPr>
          <w:rFonts w:ascii="Arial" w:hAnsi="Arial"/>
          <w:color w:val="2F2F2F" w:themeColor="text1" w:themeTint="E6"/>
          <w:sz w:val="24"/>
        </w:rPr>
        <w:t>transport infrastructure assets owned or operated by TMR. This policy aligns with the TMR Strategic Plan 2023–2027</w:t>
      </w:r>
      <w:r w:rsidR="0012230B" w:rsidRPr="00347462">
        <w:rPr>
          <w:rFonts w:ascii="Arial" w:hAnsi="Arial"/>
          <w:color w:val="2F2F2F" w:themeColor="text1" w:themeTint="E6"/>
          <w:sz w:val="24"/>
        </w:rPr>
        <w:t xml:space="preserve"> (reviewed 2025-2026)</w:t>
      </w:r>
      <w:r w:rsidRPr="00347462">
        <w:rPr>
          <w:rFonts w:ascii="Arial" w:hAnsi="Arial"/>
          <w:color w:val="2F2F2F" w:themeColor="text1" w:themeTint="E6"/>
          <w:sz w:val="24"/>
        </w:rPr>
        <w:t>.</w:t>
      </w:r>
    </w:p>
    <w:p w14:paraId="4A72ED22" w14:textId="644953D9" w:rsidR="00A119F4" w:rsidRPr="00347462" w:rsidRDefault="00B9543B" w:rsidP="00E53EB4">
      <w:pPr>
        <w:suppressAutoHyphens w:val="0"/>
        <w:spacing w:before="0" w:after="120" w:line="300" w:lineRule="atLeast"/>
      </w:pPr>
      <w:r w:rsidRPr="00347462">
        <w:rPr>
          <w:b/>
          <w:bCs/>
        </w:rPr>
        <w:t>A transport system that is accessible and connects customers and communities</w:t>
      </w:r>
    </w:p>
    <w:p w14:paraId="560E986C" w14:textId="3CB6CF45" w:rsidR="00515EAE" w:rsidRPr="00347462" w:rsidRDefault="008506FD" w:rsidP="00E53EB4">
      <w:pPr>
        <w:pStyle w:val="ListParagraph"/>
        <w:numPr>
          <w:ilvl w:val="0"/>
          <w:numId w:val="9"/>
        </w:numPr>
        <w:suppressAutoHyphens w:val="0"/>
        <w:spacing w:before="0" w:after="120" w:line="300" w:lineRule="atLeast"/>
        <w:contextualSpacing w:val="0"/>
      </w:pPr>
      <w:r w:rsidRPr="00347462">
        <w:t xml:space="preserve">Names are vital for identifying transport infrastructure, as they not only support navigation and wayfinding but also improve accessibility, foster a sense of community, and </w:t>
      </w:r>
      <w:r w:rsidR="00FE2DA1" w:rsidRPr="00347462">
        <w:t>facilitate clear</w:t>
      </w:r>
      <w:r w:rsidRPr="00347462">
        <w:t xml:space="preserve"> connections between people and places</w:t>
      </w:r>
      <w:r w:rsidR="003B6A0C" w:rsidRPr="00347462">
        <w:t>.</w:t>
      </w:r>
    </w:p>
    <w:p w14:paraId="1F755890" w14:textId="2C58DB29" w:rsidR="00333842" w:rsidRPr="00347462" w:rsidRDefault="00426167" w:rsidP="00333842">
      <w:pPr>
        <w:suppressAutoHyphens w:val="0"/>
        <w:spacing w:before="0" w:after="120" w:line="300" w:lineRule="atLeast"/>
        <w:rPr>
          <w:b/>
          <w:bCs/>
        </w:rPr>
      </w:pPr>
      <w:r w:rsidRPr="00347462">
        <w:rPr>
          <w:b/>
          <w:bCs/>
        </w:rPr>
        <w:t>A transport system that is a key enabler of economic activity</w:t>
      </w:r>
    </w:p>
    <w:p w14:paraId="5B9053E4" w14:textId="61D764BC" w:rsidR="00615B9F" w:rsidRPr="00347462" w:rsidRDefault="0061562E" w:rsidP="0061562E">
      <w:pPr>
        <w:pStyle w:val="ListParagraph"/>
        <w:numPr>
          <w:ilvl w:val="0"/>
          <w:numId w:val="9"/>
        </w:numPr>
        <w:suppressAutoHyphens w:val="0"/>
        <w:spacing w:before="0" w:after="120" w:line="300" w:lineRule="atLeast"/>
      </w:pPr>
      <w:r w:rsidRPr="00347462">
        <w:t>Clear and consistent naming principles for transport infrastructure are vital for seamless navigation, efficient movement of goods, and improved connectivity. By facilitating the timely delivery of goods and services, these principles support supply chain efficiency, enhance productivity, and contribute to economic growth by enabling businesses to operate more effectively and fostering regional development.</w:t>
      </w:r>
    </w:p>
    <w:p w14:paraId="71341F58" w14:textId="7D5637E6" w:rsidR="00615B9F" w:rsidRPr="00347462" w:rsidRDefault="00CA161D" w:rsidP="00615B9F">
      <w:pPr>
        <w:suppressAutoHyphens w:val="0"/>
        <w:spacing w:before="0" w:after="120" w:line="300" w:lineRule="atLeast"/>
        <w:rPr>
          <w:b/>
          <w:bCs/>
        </w:rPr>
      </w:pPr>
      <w:r w:rsidRPr="00347462">
        <w:rPr>
          <w:b/>
          <w:bCs/>
        </w:rPr>
        <w:t>A transport system that contributes to environmental, economic and social sustainability</w:t>
      </w:r>
    </w:p>
    <w:p w14:paraId="683BC172" w14:textId="728E3EDD" w:rsidR="002A0767" w:rsidRPr="00347462" w:rsidRDefault="002A0767" w:rsidP="00E53EB4">
      <w:pPr>
        <w:pStyle w:val="ListParagraph"/>
        <w:numPr>
          <w:ilvl w:val="0"/>
          <w:numId w:val="9"/>
        </w:numPr>
        <w:suppressAutoHyphens w:val="0"/>
        <w:spacing w:before="0" w:after="120" w:line="300" w:lineRule="atLeast"/>
        <w:contextualSpacing w:val="0"/>
      </w:pPr>
      <w:r w:rsidRPr="00347462">
        <w:t>Naming infrastructure assets provides an opportunity to honour individuals, groups, or events that have made significant contributions to Queensland’s communities. It also fosters strong stakeholder relationships and promotes a sense of identity by recognising historical, cultural, and natural linkages. Consistent and meaningful naming enhances the customer journey and ensures clarity from decision to destination.</w:t>
      </w:r>
    </w:p>
    <w:p w14:paraId="0198DB41" w14:textId="34A6A37C" w:rsidR="003226EF" w:rsidRPr="00347462" w:rsidRDefault="00A271DF" w:rsidP="00E53EB4">
      <w:pPr>
        <w:pStyle w:val="ListParagraph"/>
        <w:numPr>
          <w:ilvl w:val="0"/>
          <w:numId w:val="9"/>
        </w:numPr>
        <w:suppressAutoHyphens w:val="0"/>
        <w:spacing w:before="0" w:after="120" w:line="300" w:lineRule="atLeast"/>
        <w:contextualSpacing w:val="0"/>
      </w:pPr>
      <w:r w:rsidRPr="00347462">
        <w:t>Further, the naming principles consider the long-term relevance and adaptability of names, ensuring they remain meaningful as Queensland’s transport network evolves.</w:t>
      </w:r>
    </w:p>
    <w:p w14:paraId="4F032B32" w14:textId="572F660F" w:rsidR="00A271DF" w:rsidRPr="00347462" w:rsidRDefault="00A271DF" w:rsidP="00A271DF">
      <w:pPr>
        <w:suppressAutoHyphens w:val="0"/>
        <w:spacing w:before="0" w:after="120" w:line="300" w:lineRule="atLeast"/>
        <w:rPr>
          <w:b/>
          <w:bCs/>
        </w:rPr>
      </w:pPr>
      <w:r w:rsidRPr="00347462">
        <w:rPr>
          <w:b/>
          <w:bCs/>
        </w:rPr>
        <w:t>A positive, effective and accountable organisation</w:t>
      </w:r>
    </w:p>
    <w:p w14:paraId="2FEB0568" w14:textId="09975874" w:rsidR="00A271DF" w:rsidRPr="00347462" w:rsidRDefault="00D9006A" w:rsidP="00606E14">
      <w:pPr>
        <w:pStyle w:val="ListParagraph"/>
        <w:numPr>
          <w:ilvl w:val="0"/>
          <w:numId w:val="19"/>
        </w:numPr>
        <w:suppressAutoHyphens w:val="0"/>
        <w:spacing w:before="0" w:after="120" w:line="300" w:lineRule="atLeast"/>
      </w:pPr>
      <w:r w:rsidRPr="00347462">
        <w:t>T</w:t>
      </w:r>
      <w:r w:rsidR="00CA613B" w:rsidRPr="00347462">
        <w:t>he naming process is guided by a framework of transparency, fairness, and accountability, incorporating community values and, where appropriate, stakeholder consultation into decision-making.</w:t>
      </w:r>
    </w:p>
    <w:p w14:paraId="7D163E40" w14:textId="1ECA2953" w:rsidR="002A0767" w:rsidRPr="00347462" w:rsidRDefault="002A0767" w:rsidP="00E53EB4">
      <w:pPr>
        <w:suppressAutoHyphens w:val="0"/>
        <w:spacing w:before="0" w:after="120" w:line="300" w:lineRule="atLeast"/>
        <w:rPr>
          <w:b/>
          <w:bCs/>
        </w:rPr>
      </w:pPr>
    </w:p>
    <w:p w14:paraId="595F08D9" w14:textId="6BDFE84E" w:rsidR="002A0767" w:rsidRPr="00A656A9" w:rsidRDefault="002A0767" w:rsidP="004C0DE4">
      <w:pPr>
        <w:pStyle w:val="ListParagraph"/>
        <w:suppressAutoHyphens w:val="0"/>
        <w:spacing w:before="0" w:after="120" w:line="300" w:lineRule="atLeast"/>
        <w:contextualSpacing w:val="0"/>
        <w:rPr>
          <w:highlight w:val="yellow"/>
        </w:rPr>
      </w:pPr>
    </w:p>
    <w:p w14:paraId="02299106" w14:textId="3A160689" w:rsidR="002A0767" w:rsidRPr="00A656A9" w:rsidRDefault="002A0767" w:rsidP="004C0DE4">
      <w:pPr>
        <w:pStyle w:val="ListParagraph"/>
        <w:suppressAutoHyphens w:val="0"/>
        <w:spacing w:before="0" w:after="120" w:line="300" w:lineRule="atLeast"/>
        <w:contextualSpacing w:val="0"/>
        <w:rPr>
          <w:highlight w:val="yellow"/>
        </w:rPr>
      </w:pPr>
    </w:p>
    <w:p w14:paraId="0FAD471C" w14:textId="77777777" w:rsidR="002A0767" w:rsidRDefault="002A0767" w:rsidP="00646A31">
      <w:pPr>
        <w:pStyle w:val="Heading1"/>
      </w:pPr>
      <w:bookmarkStart w:id="23" w:name="_Toc210731145"/>
      <w:bookmarkStart w:id="24" w:name="_Toc215151604"/>
      <w:r>
        <w:lastRenderedPageBreak/>
        <w:t>Principles</w:t>
      </w:r>
      <w:bookmarkEnd w:id="23"/>
      <w:bookmarkEnd w:id="24"/>
    </w:p>
    <w:p w14:paraId="058DABEF" w14:textId="77777777" w:rsidR="002A0767" w:rsidRDefault="002A0767" w:rsidP="00E53EB4">
      <w:pPr>
        <w:spacing w:after="120" w:line="300" w:lineRule="atLeast"/>
      </w:pPr>
      <w:r w:rsidRPr="00A8085B">
        <w:t>When naming transport infrastructure assets, the following general principles should be applied</w:t>
      </w:r>
      <w:r>
        <w:t>:</w:t>
      </w:r>
    </w:p>
    <w:p w14:paraId="2709A121" w14:textId="77777777" w:rsidR="002A0767" w:rsidRDefault="002A0767" w:rsidP="00646A31">
      <w:pPr>
        <w:pStyle w:val="Heading2"/>
      </w:pPr>
      <w:bookmarkStart w:id="25" w:name="_Toc210731146"/>
      <w:bookmarkStart w:id="26" w:name="_Toc215151605"/>
      <w:r>
        <w:t>Wayfinding</w:t>
      </w:r>
      <w:bookmarkEnd w:id="25"/>
      <w:bookmarkEnd w:id="26"/>
    </w:p>
    <w:p w14:paraId="37773665" w14:textId="77777777" w:rsidR="002A0767" w:rsidRDefault="002A0767" w:rsidP="00E53EB4">
      <w:pPr>
        <w:spacing w:after="120" w:line="300" w:lineRule="atLeast"/>
      </w:pPr>
      <w:r>
        <w:t>Names for transport infrastructure assets must support the community in orientating, navigating, or identifying the infrastructure. Any new names or changes to existing names for infrastructure must:</w:t>
      </w:r>
    </w:p>
    <w:p w14:paraId="736E9E80" w14:textId="77777777" w:rsidR="002A0767" w:rsidRPr="0098624D" w:rsidRDefault="002A0767" w:rsidP="00E53EB4">
      <w:pPr>
        <w:pStyle w:val="ListParagraph"/>
        <w:numPr>
          <w:ilvl w:val="0"/>
          <w:numId w:val="6"/>
        </w:numPr>
        <w:spacing w:after="120" w:line="300" w:lineRule="atLeast"/>
        <w:contextualSpacing w:val="0"/>
      </w:pPr>
      <w:r w:rsidRPr="0098624D">
        <w:t>not negatively impact on navigation for emergency services</w:t>
      </w:r>
    </w:p>
    <w:p w14:paraId="75C37E39" w14:textId="77777777" w:rsidR="002A0767" w:rsidRPr="0098624D" w:rsidRDefault="002A0767" w:rsidP="00E53EB4">
      <w:pPr>
        <w:pStyle w:val="ListParagraph"/>
        <w:numPr>
          <w:ilvl w:val="0"/>
          <w:numId w:val="6"/>
        </w:numPr>
        <w:spacing w:after="120" w:line="300" w:lineRule="atLeast"/>
        <w:contextualSpacing w:val="0"/>
      </w:pPr>
      <w:r w:rsidRPr="0098624D">
        <w:t>promote local and tourism wayfinding</w:t>
      </w:r>
    </w:p>
    <w:p w14:paraId="67CE35EF" w14:textId="77777777" w:rsidR="002A0767" w:rsidRPr="0098624D" w:rsidRDefault="002A0767" w:rsidP="00E53EB4">
      <w:pPr>
        <w:pStyle w:val="ListParagraph"/>
        <w:numPr>
          <w:ilvl w:val="0"/>
          <w:numId w:val="6"/>
        </w:numPr>
        <w:spacing w:after="120" w:line="300" w:lineRule="atLeast"/>
        <w:contextualSpacing w:val="0"/>
      </w:pPr>
      <w:r w:rsidRPr="0098624D">
        <w:t xml:space="preserve">maintain current communication systems, including postal and delivery services </w:t>
      </w:r>
    </w:p>
    <w:p w14:paraId="6CF7FAF2" w14:textId="77777777" w:rsidR="002A0767" w:rsidRPr="0098624D" w:rsidRDefault="002A0767" w:rsidP="00E53EB4">
      <w:pPr>
        <w:pStyle w:val="ListParagraph"/>
        <w:numPr>
          <w:ilvl w:val="0"/>
          <w:numId w:val="6"/>
        </w:numPr>
        <w:spacing w:after="120" w:line="300" w:lineRule="atLeast"/>
        <w:contextualSpacing w:val="0"/>
      </w:pPr>
      <w:r w:rsidRPr="0098624D">
        <w:t>prevent confusion to transport services</w:t>
      </w:r>
    </w:p>
    <w:p w14:paraId="0063100D" w14:textId="77777777" w:rsidR="002A0767" w:rsidRPr="0098624D" w:rsidRDefault="002A0767" w:rsidP="00E53EB4">
      <w:pPr>
        <w:pStyle w:val="ListParagraph"/>
        <w:numPr>
          <w:ilvl w:val="0"/>
          <w:numId w:val="6"/>
        </w:numPr>
        <w:spacing w:after="120" w:line="300" w:lineRule="atLeast"/>
        <w:contextualSpacing w:val="0"/>
      </w:pPr>
      <w:r w:rsidRPr="0098624D">
        <w:t>consider urban and regional planning.</w:t>
      </w:r>
    </w:p>
    <w:p w14:paraId="35859BEE" w14:textId="77777777" w:rsidR="002A0767" w:rsidRPr="005F0A75" w:rsidRDefault="002A0767" w:rsidP="00E53EB4">
      <w:pPr>
        <w:spacing w:after="120" w:line="300" w:lineRule="atLeast"/>
      </w:pPr>
      <w:r w:rsidRPr="005F0A75">
        <w:t>Busway station names must be succinct and understandable. The following hierarchy, based on the location of the station, should be used for naming stations. Typically only one identifier will be used.</w:t>
      </w:r>
    </w:p>
    <w:p w14:paraId="61BBD1F3" w14:textId="77777777" w:rsidR="002A0767" w:rsidRPr="0098624D" w:rsidRDefault="002A0767" w:rsidP="00E53EB4">
      <w:pPr>
        <w:spacing w:after="120" w:line="300" w:lineRule="atLeast"/>
        <w:ind w:firstLine="567"/>
      </w:pPr>
      <w:r w:rsidRPr="0098624D">
        <w:t>Suburb – Locality – Precinct - Major attractor – Landmark – Street name</w:t>
      </w:r>
    </w:p>
    <w:p w14:paraId="7D7244F8" w14:textId="0FF31953" w:rsidR="002A0767" w:rsidRPr="0098624D" w:rsidRDefault="002A0767" w:rsidP="00E53EB4">
      <w:pPr>
        <w:spacing w:after="120" w:line="300" w:lineRule="atLeast"/>
      </w:pPr>
      <w:r w:rsidRPr="0098624D">
        <w:t xml:space="preserve">Specific reference should be made </w:t>
      </w:r>
      <w:r w:rsidRPr="00154C8C">
        <w:t xml:space="preserve">to the </w:t>
      </w:r>
      <w:r w:rsidR="00835CE2">
        <w:t xml:space="preserve">Public Transport </w:t>
      </w:r>
      <w:r w:rsidRPr="00D87E07">
        <w:t>Naming Guidelines</w:t>
      </w:r>
      <w:r w:rsidR="008E2390" w:rsidRPr="00D87E07">
        <w:t>:</w:t>
      </w:r>
      <w:r w:rsidRPr="00154C8C" w:rsidDel="008E2390">
        <w:t xml:space="preserve"> </w:t>
      </w:r>
      <w:r w:rsidRPr="00154C8C">
        <w:t>.</w:t>
      </w:r>
    </w:p>
    <w:p w14:paraId="23CCDB4D" w14:textId="77777777" w:rsidR="002A0767" w:rsidRPr="0098624D" w:rsidRDefault="002A0767" w:rsidP="00E53EB4">
      <w:pPr>
        <w:spacing w:after="120" w:line="300" w:lineRule="atLeast"/>
      </w:pPr>
      <w:r w:rsidRPr="0098624D">
        <w:t xml:space="preserve">Bus stops that are the responsibility of TMR are generally named according to the closest intersecting street. </w:t>
      </w:r>
    </w:p>
    <w:p w14:paraId="0505E088" w14:textId="77777777" w:rsidR="002A0767" w:rsidRPr="0098624D" w:rsidRDefault="002A0767" w:rsidP="00E53EB4">
      <w:pPr>
        <w:spacing w:after="120" w:line="300" w:lineRule="atLeast"/>
      </w:pPr>
      <w:r w:rsidRPr="0098624D">
        <w:t>For safety reasons an AtoN may be named after a natural feature in a particular area, for example Jeays Reef Buoy.</w:t>
      </w:r>
    </w:p>
    <w:p w14:paraId="4D8386CA" w14:textId="77777777" w:rsidR="002A0767" w:rsidRDefault="002A0767" w:rsidP="00646A31">
      <w:pPr>
        <w:pStyle w:val="Heading2"/>
      </w:pPr>
      <w:bookmarkStart w:id="27" w:name="_Toc210731147"/>
      <w:bookmarkStart w:id="28" w:name="_Toc215151606"/>
      <w:r>
        <w:t>Community</w:t>
      </w:r>
      <w:bookmarkEnd w:id="27"/>
      <w:bookmarkEnd w:id="28"/>
    </w:p>
    <w:p w14:paraId="49D6D4DD" w14:textId="77777777" w:rsidR="002A0767" w:rsidRPr="000F3ED6" w:rsidRDefault="002A0767" w:rsidP="00A725AE">
      <w:pPr>
        <w:pStyle w:val="BodyText"/>
        <w:rPr>
          <w:rFonts w:ascii="Arial" w:hAnsi="Arial"/>
          <w:color w:val="2F2F2F" w:themeColor="text1" w:themeTint="E6"/>
          <w:sz w:val="24"/>
        </w:rPr>
      </w:pPr>
      <w:r w:rsidRPr="000F3ED6">
        <w:rPr>
          <w:rFonts w:ascii="Arial" w:hAnsi="Arial"/>
          <w:color w:val="2F2F2F" w:themeColor="text1" w:themeTint="E6"/>
          <w:sz w:val="24"/>
        </w:rPr>
        <w:t>The name selected for transport infrastructure assets should consider community expectations and provide a sense of identity. Names may be printed onto signs, maps, and guides, so should be easily written and read, and should have relevance to the area in which the transport infrastructure is located.</w:t>
      </w:r>
    </w:p>
    <w:p w14:paraId="51B10830" w14:textId="77777777" w:rsidR="002A0767" w:rsidRPr="000F3ED6" w:rsidRDefault="002A0767" w:rsidP="00A725AE">
      <w:pPr>
        <w:pStyle w:val="BodyText"/>
        <w:rPr>
          <w:rFonts w:ascii="Arial" w:hAnsi="Arial"/>
          <w:color w:val="2F2F2F" w:themeColor="text1" w:themeTint="E6"/>
          <w:sz w:val="24"/>
        </w:rPr>
      </w:pPr>
      <w:r w:rsidRPr="000F3ED6">
        <w:rPr>
          <w:rFonts w:ascii="Arial" w:hAnsi="Arial"/>
          <w:color w:val="2F2F2F" w:themeColor="text1" w:themeTint="E6"/>
          <w:sz w:val="24"/>
        </w:rPr>
        <w:t>The name should fulfil one of the following:</w:t>
      </w:r>
    </w:p>
    <w:p w14:paraId="0F93F47B" w14:textId="77777777" w:rsidR="002A0767" w:rsidRPr="000F3ED6" w:rsidRDefault="002A0767" w:rsidP="00E53EB4">
      <w:pPr>
        <w:pStyle w:val="ListParagraph"/>
        <w:numPr>
          <w:ilvl w:val="0"/>
          <w:numId w:val="6"/>
        </w:numPr>
        <w:spacing w:after="120" w:line="300" w:lineRule="atLeast"/>
        <w:contextualSpacing w:val="0"/>
      </w:pPr>
      <w:r w:rsidRPr="000F3ED6">
        <w:t>enable the community to identify with the infrastructure through historical, cultural, heritage, environmental or natural linkages</w:t>
      </w:r>
    </w:p>
    <w:p w14:paraId="3A16BA65" w14:textId="77777777" w:rsidR="002A0767" w:rsidRPr="000F3ED6" w:rsidRDefault="002A0767" w:rsidP="00E53EB4">
      <w:pPr>
        <w:pStyle w:val="ListParagraph"/>
        <w:numPr>
          <w:ilvl w:val="0"/>
          <w:numId w:val="6"/>
        </w:numPr>
        <w:spacing w:after="120" w:line="300" w:lineRule="atLeast"/>
        <w:contextualSpacing w:val="0"/>
      </w:pPr>
      <w:r w:rsidRPr="000F3ED6">
        <w:lastRenderedPageBreak/>
        <w:t>commemorate an individual or individuals that have made a significant contribution to the local community, be of good character and enjoy broad community support.</w:t>
      </w:r>
    </w:p>
    <w:p w14:paraId="466A773B" w14:textId="77777777" w:rsidR="002A0767" w:rsidRPr="000F3ED6" w:rsidRDefault="002A0767" w:rsidP="00A725AE">
      <w:pPr>
        <w:pStyle w:val="BodyText"/>
        <w:rPr>
          <w:rFonts w:ascii="Arial" w:hAnsi="Arial"/>
          <w:color w:val="2F2F2F" w:themeColor="text1" w:themeTint="E6"/>
          <w:sz w:val="24"/>
        </w:rPr>
      </w:pPr>
      <w:r w:rsidRPr="000F3ED6">
        <w:rPr>
          <w:rFonts w:ascii="Arial" w:hAnsi="Arial"/>
          <w:color w:val="2F2F2F" w:themeColor="text1" w:themeTint="E6"/>
          <w:sz w:val="24"/>
        </w:rPr>
        <w:t xml:space="preserve">Specific reference should be made to the </w:t>
      </w:r>
      <w:r>
        <w:rPr>
          <w:rFonts w:ascii="Arial" w:hAnsi="Arial"/>
          <w:color w:val="2F2F2F" w:themeColor="text1" w:themeTint="E6"/>
          <w:sz w:val="24"/>
        </w:rPr>
        <w:t>Dedication and Naming of Aids to Navigation</w:t>
      </w:r>
      <w:r w:rsidRPr="000F3ED6">
        <w:rPr>
          <w:rFonts w:ascii="Arial" w:hAnsi="Arial"/>
          <w:color w:val="2F2F2F" w:themeColor="text1" w:themeTint="E6"/>
          <w:sz w:val="24"/>
        </w:rPr>
        <w:t xml:space="preserve"> (20</w:t>
      </w:r>
      <w:r>
        <w:rPr>
          <w:rFonts w:ascii="Arial" w:hAnsi="Arial"/>
          <w:color w:val="2F2F2F" w:themeColor="text1" w:themeTint="E6"/>
          <w:sz w:val="24"/>
        </w:rPr>
        <w:t xml:space="preserve">25) </w:t>
      </w:r>
      <w:r w:rsidRPr="000F3ED6">
        <w:rPr>
          <w:rFonts w:ascii="Arial" w:hAnsi="Arial"/>
          <w:color w:val="2F2F2F" w:themeColor="text1" w:themeTint="E6"/>
          <w:sz w:val="24"/>
        </w:rPr>
        <w:t xml:space="preserve">when an application for the dedicating and naming of AtoN is received by Maritime Safety Queensland Branch (MSQ). </w:t>
      </w:r>
    </w:p>
    <w:p w14:paraId="7D6CF290" w14:textId="77777777" w:rsidR="002A0767" w:rsidRDefault="002A0767" w:rsidP="00646A31">
      <w:pPr>
        <w:pStyle w:val="Heading2"/>
      </w:pPr>
      <w:bookmarkStart w:id="29" w:name="_Toc210731148"/>
      <w:bookmarkStart w:id="30" w:name="_Toc215151607"/>
      <w:r>
        <w:t>Appropriateness</w:t>
      </w:r>
      <w:bookmarkEnd w:id="29"/>
      <w:bookmarkEnd w:id="30"/>
    </w:p>
    <w:p w14:paraId="57A2803D" w14:textId="77777777" w:rsidR="002A0767" w:rsidRPr="008B7FC0" w:rsidRDefault="002A0767" w:rsidP="00A725AE">
      <w:pPr>
        <w:pStyle w:val="BodyText"/>
        <w:rPr>
          <w:rFonts w:ascii="Arial" w:hAnsi="Arial"/>
          <w:color w:val="2F2F2F" w:themeColor="text1" w:themeTint="E6"/>
          <w:sz w:val="24"/>
        </w:rPr>
      </w:pPr>
      <w:r w:rsidRPr="008B7FC0">
        <w:rPr>
          <w:rFonts w:ascii="Arial" w:hAnsi="Arial"/>
          <w:color w:val="2F2F2F" w:themeColor="text1" w:themeTint="E6"/>
          <w:sz w:val="24"/>
        </w:rPr>
        <w:t>Names that are offensive, demeaning, or harmful to the reputation of individuals or to social, ethnic, religious or other groups, or are likely to cause offence generally, cannot be used for transport infrastructure. If a name that is in use has subsequent substantiated revelations which lead to the name becoming inappropriate, and where community sentiment is supportive, the name should be changed in a timely manner consistent with community expectations.</w:t>
      </w:r>
    </w:p>
    <w:p w14:paraId="101E7CCE" w14:textId="34D04761" w:rsidR="002A0767" w:rsidRPr="008B7FC0" w:rsidRDefault="002A0767" w:rsidP="00A725AE">
      <w:pPr>
        <w:pStyle w:val="BodyText"/>
        <w:rPr>
          <w:rFonts w:ascii="Arial" w:hAnsi="Arial"/>
          <w:color w:val="2F2F2F" w:themeColor="text1" w:themeTint="E6"/>
          <w:sz w:val="24"/>
        </w:rPr>
      </w:pPr>
      <w:r w:rsidRPr="008B7FC0">
        <w:rPr>
          <w:rFonts w:ascii="Arial" w:hAnsi="Arial"/>
          <w:color w:val="2F2F2F" w:themeColor="text1" w:themeTint="E6"/>
          <w:sz w:val="24"/>
        </w:rPr>
        <w:t>Proposals to commemorate living persons should not be considered. There is a risk that the individual could be associated with inappropriate actions or activities after the name is approved. This would necessitate a change to the name of the infrastructure. A proposal should only be considered when an individual or individuals have been deceased for at least two years</w:t>
      </w:r>
      <w:r w:rsidR="00251412">
        <w:rPr>
          <w:rFonts w:ascii="Arial" w:hAnsi="Arial"/>
          <w:color w:val="2F2F2F" w:themeColor="text1" w:themeTint="E6"/>
          <w:sz w:val="24"/>
        </w:rPr>
        <w:t>.</w:t>
      </w:r>
    </w:p>
    <w:p w14:paraId="7CA699BD" w14:textId="77777777" w:rsidR="002A0767" w:rsidRDefault="002A0767" w:rsidP="00646A31">
      <w:pPr>
        <w:pStyle w:val="Heading2"/>
      </w:pPr>
      <w:bookmarkStart w:id="31" w:name="_Toc210731149"/>
      <w:bookmarkStart w:id="32" w:name="_Toc215151608"/>
      <w:r>
        <w:t>Dual Naming</w:t>
      </w:r>
      <w:bookmarkEnd w:id="31"/>
      <w:bookmarkEnd w:id="32"/>
    </w:p>
    <w:p w14:paraId="1E64DCA0" w14:textId="08D8BC83" w:rsidR="002A0767" w:rsidRDefault="002A0767" w:rsidP="00A725AE">
      <w:pPr>
        <w:pStyle w:val="BodyText"/>
        <w:rPr>
          <w:rFonts w:ascii="Arial" w:hAnsi="Arial"/>
          <w:color w:val="2F2F2F" w:themeColor="text1" w:themeTint="E6"/>
          <w:sz w:val="24"/>
        </w:rPr>
      </w:pPr>
      <w:r w:rsidRPr="009B7CCB">
        <w:rPr>
          <w:rFonts w:ascii="Arial" w:hAnsi="Arial"/>
          <w:color w:val="2F2F2F" w:themeColor="text1" w:themeTint="E6"/>
          <w:sz w:val="24"/>
        </w:rPr>
        <w:t xml:space="preserve">Dual (or co-) naming of transport infrastructure assets is not </w:t>
      </w:r>
      <w:r w:rsidR="00642A9C" w:rsidRPr="009B7CCB">
        <w:rPr>
          <w:rFonts w:ascii="Arial" w:hAnsi="Arial"/>
          <w:color w:val="2F2F2F" w:themeColor="text1" w:themeTint="E6"/>
          <w:sz w:val="24"/>
        </w:rPr>
        <w:t xml:space="preserve">generally </w:t>
      </w:r>
      <w:r w:rsidRPr="009B7CCB">
        <w:rPr>
          <w:rFonts w:ascii="Arial" w:hAnsi="Arial"/>
          <w:color w:val="2F2F2F" w:themeColor="text1" w:themeTint="E6"/>
          <w:sz w:val="24"/>
        </w:rPr>
        <w:t>supported</w:t>
      </w:r>
      <w:r w:rsidR="00793E09" w:rsidRPr="009B7CCB">
        <w:rPr>
          <w:rFonts w:ascii="Arial" w:hAnsi="Arial"/>
          <w:color w:val="2F2F2F" w:themeColor="text1" w:themeTint="E6"/>
          <w:sz w:val="24"/>
        </w:rPr>
        <w:t xml:space="preserve"> u</w:t>
      </w:r>
      <w:r w:rsidR="007D52E2" w:rsidRPr="009B7CCB">
        <w:rPr>
          <w:rFonts w:ascii="Arial" w:hAnsi="Arial"/>
          <w:color w:val="2F2F2F" w:themeColor="text1" w:themeTint="E6"/>
          <w:sz w:val="24"/>
        </w:rPr>
        <w:t>nless exceptional circumstances apply</w:t>
      </w:r>
      <w:r w:rsidR="00793E09" w:rsidRPr="009B7CCB">
        <w:rPr>
          <w:rFonts w:ascii="Arial" w:hAnsi="Arial"/>
          <w:color w:val="2F2F2F" w:themeColor="text1" w:themeTint="E6"/>
          <w:sz w:val="24"/>
        </w:rPr>
        <w:t>. A</w:t>
      </w:r>
      <w:r w:rsidRPr="009B7CCB">
        <w:rPr>
          <w:rFonts w:ascii="Arial" w:hAnsi="Arial"/>
          <w:color w:val="2F2F2F" w:themeColor="text1" w:themeTint="E6"/>
          <w:sz w:val="24"/>
        </w:rPr>
        <w:t xml:space="preserve"> dual name is contradictory to the principle of wayfinding where a single name is encouraged to prevent confusion in navigation and identification.</w:t>
      </w:r>
      <w:r w:rsidRPr="001A06DB">
        <w:rPr>
          <w:rFonts w:ascii="Arial" w:hAnsi="Arial"/>
          <w:color w:val="2F2F2F" w:themeColor="text1" w:themeTint="E6"/>
          <w:sz w:val="24"/>
        </w:rPr>
        <w:t xml:space="preserve"> </w:t>
      </w:r>
    </w:p>
    <w:p w14:paraId="63E096AA" w14:textId="77777777" w:rsidR="002A0767" w:rsidRPr="005E7AC7" w:rsidRDefault="002A0767" w:rsidP="00646A31">
      <w:pPr>
        <w:pStyle w:val="Heading2"/>
      </w:pPr>
      <w:bookmarkStart w:id="33" w:name="_Toc210731150"/>
      <w:bookmarkStart w:id="34" w:name="_Toc215151609"/>
      <w:r w:rsidRPr="005E7AC7">
        <w:t>Contiguous</w:t>
      </w:r>
      <w:bookmarkEnd w:id="33"/>
      <w:bookmarkEnd w:id="34"/>
    </w:p>
    <w:p w14:paraId="3A00D665" w14:textId="77777777" w:rsidR="002A0767" w:rsidRPr="005E7AC7" w:rsidRDefault="002A0767" w:rsidP="00A725AE">
      <w:pPr>
        <w:pStyle w:val="BodyText"/>
        <w:rPr>
          <w:rFonts w:ascii="Arial" w:hAnsi="Arial"/>
          <w:color w:val="2F2F2F" w:themeColor="text1" w:themeTint="E6"/>
          <w:sz w:val="24"/>
        </w:rPr>
      </w:pPr>
      <w:r w:rsidRPr="005E7AC7">
        <w:rPr>
          <w:rFonts w:ascii="Arial" w:hAnsi="Arial"/>
          <w:color w:val="2F2F2F" w:themeColor="text1" w:themeTint="E6"/>
          <w:sz w:val="24"/>
        </w:rPr>
        <w:t>A name must be for a single identifiable transport infrastructure asset or contiguous length of carriageway. The name of a road or discrete piece of infrastructure will:</w:t>
      </w:r>
    </w:p>
    <w:p w14:paraId="4D2DA3FA" w14:textId="77777777" w:rsidR="002A0767" w:rsidRPr="005E7AC7" w:rsidRDefault="002A0767" w:rsidP="00A725AE">
      <w:pPr>
        <w:pStyle w:val="BodyText"/>
        <w:numPr>
          <w:ilvl w:val="0"/>
          <w:numId w:val="10"/>
        </w:numPr>
        <w:rPr>
          <w:rFonts w:ascii="Arial" w:hAnsi="Arial"/>
          <w:color w:val="2F2F2F" w:themeColor="text1" w:themeTint="E6"/>
          <w:sz w:val="24"/>
        </w:rPr>
      </w:pPr>
      <w:r w:rsidRPr="005E7AC7">
        <w:rPr>
          <w:rFonts w:ascii="Arial" w:hAnsi="Arial"/>
          <w:color w:val="2F2F2F" w:themeColor="text1" w:themeTint="E6"/>
          <w:sz w:val="24"/>
        </w:rPr>
        <w:t>not be interrupted with a section that is identified under an alternative name</w:t>
      </w:r>
    </w:p>
    <w:p w14:paraId="6AF88C01" w14:textId="77777777" w:rsidR="002A0767" w:rsidRPr="005E7AC7" w:rsidRDefault="002A0767" w:rsidP="00A725AE">
      <w:pPr>
        <w:pStyle w:val="BodyText"/>
        <w:numPr>
          <w:ilvl w:val="0"/>
          <w:numId w:val="10"/>
        </w:numPr>
        <w:rPr>
          <w:rFonts w:ascii="Arial" w:hAnsi="Arial"/>
          <w:color w:val="2F2F2F" w:themeColor="text1" w:themeTint="E6"/>
          <w:sz w:val="24"/>
        </w:rPr>
      </w:pPr>
      <w:r w:rsidRPr="005E7AC7">
        <w:rPr>
          <w:rFonts w:ascii="Arial" w:hAnsi="Arial"/>
          <w:color w:val="2F2F2F" w:themeColor="text1" w:themeTint="E6"/>
          <w:sz w:val="24"/>
        </w:rPr>
        <w:t>not continue beyond unbridged waterways or geographical features that cannot be crossed.</w:t>
      </w:r>
    </w:p>
    <w:p w14:paraId="5C1FE890" w14:textId="77777777" w:rsidR="002A0767" w:rsidRDefault="002A0767" w:rsidP="00646A31">
      <w:pPr>
        <w:pStyle w:val="Heading2"/>
      </w:pPr>
      <w:bookmarkStart w:id="35" w:name="_Toc210731151"/>
      <w:bookmarkStart w:id="36" w:name="_Toc215151610"/>
      <w:r>
        <w:t>Unique</w:t>
      </w:r>
      <w:bookmarkEnd w:id="35"/>
      <w:bookmarkEnd w:id="36"/>
    </w:p>
    <w:p w14:paraId="4F29D339" w14:textId="77777777" w:rsidR="002A0767" w:rsidRPr="00875300" w:rsidRDefault="002A0767" w:rsidP="00A725AE">
      <w:pPr>
        <w:pStyle w:val="BodyText"/>
        <w:rPr>
          <w:rFonts w:ascii="Arial" w:hAnsi="Arial"/>
          <w:color w:val="2F2F2F" w:themeColor="text1" w:themeTint="E6"/>
          <w:sz w:val="24"/>
        </w:rPr>
      </w:pPr>
      <w:r w:rsidRPr="00875300">
        <w:rPr>
          <w:rFonts w:ascii="Arial" w:hAnsi="Arial"/>
          <w:color w:val="2F2F2F" w:themeColor="text1" w:themeTint="E6"/>
          <w:sz w:val="24"/>
        </w:rPr>
        <w:t>Names that can be confused with, or duplicate other names in the same region will not be considered. In order to acquire uniqueness, consider avoiding:</w:t>
      </w:r>
    </w:p>
    <w:p w14:paraId="129915AA" w14:textId="77777777" w:rsidR="002A0767" w:rsidRPr="00875300" w:rsidRDefault="002A0767" w:rsidP="00A725AE">
      <w:pPr>
        <w:pStyle w:val="BodyText"/>
        <w:numPr>
          <w:ilvl w:val="0"/>
          <w:numId w:val="11"/>
        </w:numPr>
        <w:rPr>
          <w:rFonts w:ascii="Arial" w:hAnsi="Arial"/>
          <w:color w:val="2F2F2F" w:themeColor="text1" w:themeTint="E6"/>
          <w:sz w:val="24"/>
        </w:rPr>
      </w:pPr>
      <w:r w:rsidRPr="00875300">
        <w:rPr>
          <w:rFonts w:ascii="Arial" w:hAnsi="Arial"/>
          <w:color w:val="2F2F2F" w:themeColor="text1" w:themeTint="E6"/>
          <w:sz w:val="24"/>
        </w:rPr>
        <w:lastRenderedPageBreak/>
        <w:t>homographic names (words spelled the same but not necessarily pronounced the same)</w:t>
      </w:r>
    </w:p>
    <w:p w14:paraId="15E0DA13" w14:textId="77777777" w:rsidR="002A0767" w:rsidRPr="00875300" w:rsidRDefault="002A0767" w:rsidP="00A725AE">
      <w:pPr>
        <w:pStyle w:val="BodyText"/>
        <w:numPr>
          <w:ilvl w:val="0"/>
          <w:numId w:val="11"/>
        </w:numPr>
        <w:rPr>
          <w:rFonts w:ascii="Arial" w:hAnsi="Arial"/>
          <w:color w:val="2F2F2F" w:themeColor="text1" w:themeTint="E6"/>
          <w:sz w:val="24"/>
        </w:rPr>
      </w:pPr>
      <w:r w:rsidRPr="00875300">
        <w:rPr>
          <w:rFonts w:ascii="Arial" w:hAnsi="Arial"/>
          <w:color w:val="2F2F2F" w:themeColor="text1" w:themeTint="E6"/>
          <w:sz w:val="24"/>
        </w:rPr>
        <w:t>homophonic names (words that sound the same)</w:t>
      </w:r>
    </w:p>
    <w:p w14:paraId="6E1AD108" w14:textId="77777777" w:rsidR="002A0767" w:rsidRPr="00875300" w:rsidRDefault="002A0767" w:rsidP="00A725AE">
      <w:pPr>
        <w:pStyle w:val="BodyText"/>
        <w:numPr>
          <w:ilvl w:val="0"/>
          <w:numId w:val="11"/>
        </w:numPr>
        <w:rPr>
          <w:rFonts w:ascii="Arial" w:hAnsi="Arial"/>
          <w:color w:val="2F2F2F" w:themeColor="text1" w:themeTint="E6"/>
          <w:sz w:val="24"/>
        </w:rPr>
      </w:pPr>
      <w:r w:rsidRPr="00875300">
        <w:rPr>
          <w:rFonts w:ascii="Arial" w:hAnsi="Arial"/>
          <w:color w:val="2F2F2F" w:themeColor="text1" w:themeTint="E6"/>
          <w:sz w:val="24"/>
        </w:rPr>
        <w:t>adjectives such as Upper, Lower, Old, New or Little which can result in partially duplicated names (New Cleveland Road and Old Cleveland Road).</w:t>
      </w:r>
    </w:p>
    <w:p w14:paraId="15D220B6" w14:textId="77777777" w:rsidR="002A0767" w:rsidRPr="00875300" w:rsidRDefault="002A0767" w:rsidP="00A725AE">
      <w:pPr>
        <w:pStyle w:val="BodyText"/>
        <w:rPr>
          <w:rFonts w:ascii="Arial" w:hAnsi="Arial"/>
          <w:color w:val="2F2F2F" w:themeColor="text1" w:themeTint="E6"/>
          <w:sz w:val="24"/>
        </w:rPr>
      </w:pPr>
      <w:r w:rsidRPr="00875300">
        <w:rPr>
          <w:rFonts w:ascii="Arial" w:hAnsi="Arial"/>
          <w:color w:val="2F2F2F" w:themeColor="text1" w:themeTint="E6"/>
          <w:sz w:val="24"/>
        </w:rPr>
        <w:t>Origin to destination names should not be used (AS/NZS 4819:2011 Rural and Urban Addressing, s4.4.9).</w:t>
      </w:r>
    </w:p>
    <w:p w14:paraId="393DA2E3" w14:textId="77777777" w:rsidR="002A0767" w:rsidRPr="00875300" w:rsidRDefault="002A0767" w:rsidP="00A725AE">
      <w:pPr>
        <w:pStyle w:val="BodyText"/>
        <w:rPr>
          <w:rFonts w:ascii="Arial" w:hAnsi="Arial"/>
          <w:color w:val="2F2F2F" w:themeColor="text1" w:themeTint="E6"/>
          <w:sz w:val="24"/>
        </w:rPr>
      </w:pPr>
      <w:r w:rsidRPr="00875300">
        <w:rPr>
          <w:rFonts w:ascii="Arial" w:hAnsi="Arial"/>
          <w:color w:val="2F2F2F" w:themeColor="text1" w:themeTint="E6"/>
          <w:sz w:val="24"/>
        </w:rPr>
        <w:t>A name may appear in another region, where there are no obvious conflicts with the principle of wayfinding.</w:t>
      </w:r>
    </w:p>
    <w:p w14:paraId="0C9E9DDC" w14:textId="77777777" w:rsidR="002A0767" w:rsidRPr="00475A94" w:rsidRDefault="002A0767" w:rsidP="00646A31">
      <w:pPr>
        <w:pStyle w:val="Heading2"/>
      </w:pPr>
      <w:bookmarkStart w:id="37" w:name="_Toc210731152"/>
      <w:bookmarkStart w:id="38" w:name="_Toc215151611"/>
      <w:r w:rsidRPr="00475A94">
        <w:t>Language</w:t>
      </w:r>
      <w:bookmarkEnd w:id="37"/>
      <w:bookmarkEnd w:id="38"/>
    </w:p>
    <w:p w14:paraId="3C1AA7A9" w14:textId="0CECC241" w:rsidR="002A0767" w:rsidRPr="00475A94" w:rsidRDefault="002A0767" w:rsidP="095727E2">
      <w:pPr>
        <w:pStyle w:val="BodyText"/>
        <w:rPr>
          <w:rFonts w:ascii="Arial" w:hAnsi="Arial"/>
          <w:color w:val="2F2F2F" w:themeColor="text1" w:themeTint="E6"/>
          <w:sz w:val="24"/>
          <w:szCs w:val="24"/>
        </w:rPr>
      </w:pPr>
      <w:r w:rsidRPr="095727E2">
        <w:rPr>
          <w:rFonts w:ascii="Arial" w:hAnsi="Arial"/>
          <w:color w:val="2F2F2F" w:themeColor="text1" w:themeTint="E6"/>
          <w:sz w:val="24"/>
          <w:szCs w:val="24"/>
        </w:rPr>
        <w:t>It is recommended that names use English. Other languages may be used if the name has significance to the local area and adheres to wayfinding and legibility considerations. Some of the more important aspects of language for consideration are:</w:t>
      </w:r>
    </w:p>
    <w:p w14:paraId="659ED4B6"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the length of the name</w:t>
      </w:r>
    </w:p>
    <w:p w14:paraId="19532D8D"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pronunciation of the name</w:t>
      </w:r>
    </w:p>
    <w:p w14:paraId="27072F20"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hyphenated names (AS/NZS 4819:2011 Rural and Urban Addressing, s4.7.8)</w:t>
      </w:r>
    </w:p>
    <w:p w14:paraId="59A79B3E"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avoiding abbreviations, initials or articles (‘a’ and ‘the’, unless there are historical reasons for doing so)</w:t>
      </w:r>
    </w:p>
    <w:p w14:paraId="0DFB7158"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only including characters from the standard alphabet</w:t>
      </w:r>
    </w:p>
    <w:p w14:paraId="0237EBF4" w14:textId="77777777" w:rsidR="002A0767" w:rsidRPr="00475A94" w:rsidRDefault="002A0767" w:rsidP="00A725AE">
      <w:pPr>
        <w:pStyle w:val="BodyText"/>
        <w:numPr>
          <w:ilvl w:val="0"/>
          <w:numId w:val="12"/>
        </w:numPr>
        <w:rPr>
          <w:rFonts w:ascii="Arial" w:hAnsi="Arial"/>
          <w:color w:val="2F2F2F" w:themeColor="text1" w:themeTint="E6"/>
          <w:sz w:val="24"/>
        </w:rPr>
      </w:pPr>
      <w:r w:rsidRPr="00475A94">
        <w:rPr>
          <w:rFonts w:ascii="Arial" w:hAnsi="Arial"/>
          <w:color w:val="2F2F2F" w:themeColor="text1" w:themeTint="E6"/>
          <w:sz w:val="24"/>
        </w:rPr>
        <w:t>names which imply possessive case, for example Smiths Creek, should not show an apostrophe.</w:t>
      </w:r>
    </w:p>
    <w:p w14:paraId="36639ED9" w14:textId="77777777" w:rsidR="002A0767" w:rsidRPr="00475A94" w:rsidRDefault="002A0767" w:rsidP="00A725AE">
      <w:pPr>
        <w:pStyle w:val="BodyText"/>
        <w:rPr>
          <w:rFonts w:ascii="Arial" w:hAnsi="Arial"/>
          <w:color w:val="2F2F2F" w:themeColor="text1" w:themeTint="E6"/>
          <w:sz w:val="24"/>
        </w:rPr>
      </w:pPr>
      <w:r w:rsidRPr="00475A94">
        <w:rPr>
          <w:rFonts w:ascii="Arial" w:hAnsi="Arial"/>
          <w:color w:val="2F2F2F" w:themeColor="text1" w:themeTint="E6"/>
          <w:sz w:val="24"/>
        </w:rPr>
        <w:t xml:space="preserve">Names should be spelt in full and the use of acronyms avoided. In certain cases, acronyms may be used for the naming of busway stations where there is limited space, provided the use of the acronym does not reduce the effectiveness of the name to orientate customers. </w:t>
      </w:r>
    </w:p>
    <w:p w14:paraId="553148AA" w14:textId="77777777" w:rsidR="002A0767" w:rsidRPr="00FA3DE5" w:rsidRDefault="002A0767" w:rsidP="00646A31">
      <w:pPr>
        <w:pStyle w:val="Heading2"/>
      </w:pPr>
      <w:bookmarkStart w:id="39" w:name="_Toc210731153"/>
      <w:bookmarkStart w:id="40" w:name="_Toc215151612"/>
      <w:r w:rsidRPr="00FA3DE5">
        <w:t>Renaming</w:t>
      </w:r>
      <w:bookmarkEnd w:id="39"/>
      <w:bookmarkEnd w:id="40"/>
    </w:p>
    <w:p w14:paraId="5EBD77EC" w14:textId="77777777" w:rsidR="002A0767" w:rsidRPr="009B4D13"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Renaming of transport infrastructure would only be considered in exceptional circumstances, in order to maintain consistency and to minimise confusion. A name</w:t>
      </w:r>
      <w:r w:rsidRPr="009B4D13">
        <w:rPr>
          <w:rFonts w:ascii="Arial" w:hAnsi="Arial"/>
          <w:color w:val="2F2F2F" w:themeColor="text1" w:themeTint="E6"/>
          <w:sz w:val="24"/>
        </w:rPr>
        <w:t xml:space="preserve"> is intended to endure for the life of the infrastructure and have inter-generational significance. Renaming existing transport infrastructure will only be considered in exceptional circumstances. Changing a name may involve considerable cost to the wider community as well as impact the critical function of the name, such as location identification for essential services. Changing a name could require alterations to signage, updates to wayfinding devices, resource reprinting and modification of legal documents.  </w:t>
      </w:r>
    </w:p>
    <w:p w14:paraId="25AE9498" w14:textId="77777777" w:rsidR="002A0767" w:rsidRPr="00347462" w:rsidRDefault="002A0767" w:rsidP="00A725AE">
      <w:pPr>
        <w:pStyle w:val="BodyText"/>
        <w:rPr>
          <w:rFonts w:ascii="Arial" w:hAnsi="Arial"/>
          <w:color w:val="2F2F2F" w:themeColor="text1" w:themeTint="E6"/>
          <w:sz w:val="24"/>
        </w:rPr>
      </w:pPr>
      <w:r w:rsidRPr="009B4D13">
        <w:rPr>
          <w:rFonts w:ascii="Arial" w:hAnsi="Arial"/>
          <w:color w:val="2F2F2F" w:themeColor="text1" w:themeTint="E6"/>
          <w:sz w:val="24"/>
        </w:rPr>
        <w:lastRenderedPageBreak/>
        <w:t xml:space="preserve">Infrastructure should not be renamed unless there are compelling reasons for the </w:t>
      </w:r>
      <w:r w:rsidRPr="00347462">
        <w:rPr>
          <w:rFonts w:ascii="Arial" w:hAnsi="Arial"/>
          <w:color w:val="2F2F2F" w:themeColor="text1" w:themeTint="E6"/>
          <w:sz w:val="24"/>
        </w:rPr>
        <w:t>change. Reasons for a change to named infrastructure include:</w:t>
      </w:r>
    </w:p>
    <w:p w14:paraId="3587485C" w14:textId="060A048C" w:rsidR="002A0767" w:rsidRPr="00347462" w:rsidRDefault="002A0767"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a structure is replaced</w:t>
      </w:r>
      <w:r w:rsidR="00B44840" w:rsidRPr="00347462">
        <w:rPr>
          <w:rFonts w:ascii="Arial" w:hAnsi="Arial"/>
          <w:color w:val="2F2F2F" w:themeColor="text1" w:themeTint="E6"/>
          <w:sz w:val="24"/>
        </w:rPr>
        <w:t xml:space="preserve"> or upgraded </w:t>
      </w:r>
      <w:r w:rsidR="00755DFC" w:rsidRPr="00347462">
        <w:rPr>
          <w:rFonts w:ascii="Arial" w:hAnsi="Arial"/>
          <w:color w:val="2F2F2F" w:themeColor="text1" w:themeTint="E6"/>
          <w:sz w:val="24"/>
        </w:rPr>
        <w:t>in</w:t>
      </w:r>
      <w:r w:rsidR="00B44840" w:rsidRPr="00347462">
        <w:rPr>
          <w:rFonts w:ascii="Arial" w:hAnsi="Arial"/>
          <w:color w:val="2F2F2F" w:themeColor="text1" w:themeTint="E6"/>
          <w:sz w:val="24"/>
        </w:rPr>
        <w:t xml:space="preserve">to a </w:t>
      </w:r>
      <w:r w:rsidR="00755DFC" w:rsidRPr="00347462">
        <w:rPr>
          <w:rFonts w:ascii="Arial" w:hAnsi="Arial"/>
          <w:color w:val="2F2F2F" w:themeColor="text1" w:themeTint="E6"/>
          <w:sz w:val="24"/>
        </w:rPr>
        <w:t>significantly</w:t>
      </w:r>
      <w:r w:rsidR="00B44840" w:rsidRPr="00347462">
        <w:rPr>
          <w:rFonts w:ascii="Arial" w:hAnsi="Arial"/>
          <w:color w:val="2F2F2F" w:themeColor="text1" w:themeTint="E6"/>
          <w:sz w:val="24"/>
        </w:rPr>
        <w:t xml:space="preserve"> larger formation</w:t>
      </w:r>
    </w:p>
    <w:p w14:paraId="21EFD3A8" w14:textId="77777777" w:rsidR="002A0767" w:rsidRPr="00347462" w:rsidRDefault="002A0767"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an overpass or interchange is upgraded</w:t>
      </w:r>
    </w:p>
    <w:p w14:paraId="08978C88" w14:textId="77777777" w:rsidR="002A0767" w:rsidRPr="00347462" w:rsidRDefault="002A0767"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to reduce problems associated with a non-unique name</w:t>
      </w:r>
    </w:p>
    <w:p w14:paraId="38F6EF3C" w14:textId="77777777" w:rsidR="002A0767" w:rsidRPr="00347462" w:rsidRDefault="002A0767"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the name is misspelt</w:t>
      </w:r>
    </w:p>
    <w:p w14:paraId="7444A29E" w14:textId="77777777" w:rsidR="002A0767" w:rsidRPr="00347462" w:rsidRDefault="002A0767"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the name is no longer appropriate or acceptable</w:t>
      </w:r>
    </w:p>
    <w:p w14:paraId="081F6EBA" w14:textId="7137C531" w:rsidR="002A0767" w:rsidRPr="00347462" w:rsidRDefault="00924B5C" w:rsidP="00A725AE">
      <w:pPr>
        <w:pStyle w:val="BodyText"/>
        <w:numPr>
          <w:ilvl w:val="0"/>
          <w:numId w:val="13"/>
        </w:numPr>
        <w:rPr>
          <w:rFonts w:ascii="Arial" w:hAnsi="Arial"/>
          <w:color w:val="2F2F2F" w:themeColor="text1" w:themeTint="E6"/>
          <w:sz w:val="24"/>
        </w:rPr>
      </w:pPr>
      <w:r w:rsidRPr="00347462">
        <w:rPr>
          <w:rFonts w:ascii="Arial" w:hAnsi="Arial"/>
          <w:color w:val="2F2F2F" w:themeColor="text1" w:themeTint="E6"/>
          <w:sz w:val="24"/>
        </w:rPr>
        <w:t xml:space="preserve">recognising </w:t>
      </w:r>
      <w:r w:rsidR="002A0767" w:rsidRPr="00347462">
        <w:rPr>
          <w:rFonts w:ascii="Arial" w:hAnsi="Arial"/>
          <w:color w:val="2F2F2F" w:themeColor="text1" w:themeTint="E6"/>
          <w:sz w:val="24"/>
        </w:rPr>
        <w:t>a major change in the function or purpose of the infrastructure.</w:t>
      </w:r>
    </w:p>
    <w:p w14:paraId="38E79BA1" w14:textId="672A3E09" w:rsidR="002A0767" w:rsidRPr="00347462" w:rsidRDefault="002A0767" w:rsidP="00E53EB4">
      <w:pPr>
        <w:spacing w:after="120" w:line="300" w:lineRule="atLeast"/>
      </w:pPr>
      <w:r w:rsidRPr="00347462">
        <w:t xml:space="preserve">The provision of upgraded infrastructure on essentially the same alignment does not necessarily require consideration of a new name. In such cases, the existing name </w:t>
      </w:r>
      <w:r w:rsidR="00755DFC" w:rsidRPr="00347462">
        <w:t xml:space="preserve">should </w:t>
      </w:r>
      <w:r w:rsidRPr="00347462">
        <w:t>be retained to ensure continuity for users and to uphold the historical or community significance associated with the original name.</w:t>
      </w:r>
    </w:p>
    <w:p w14:paraId="284A42F6" w14:textId="77777777" w:rsidR="002A0767" w:rsidRPr="00347462"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Long-term benefits to the community must outweigh any private or corporate interests, short-term effects, and the impact on the community in making the change.</w:t>
      </w:r>
    </w:p>
    <w:p w14:paraId="43F7982E" w14:textId="56E12B21" w:rsidR="002A0767"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Aids to navigation are not necessarily permanent features and their position</w:t>
      </w:r>
      <w:r w:rsidRPr="009B4D13">
        <w:rPr>
          <w:rFonts w:ascii="Arial" w:hAnsi="Arial"/>
          <w:color w:val="2F2F2F" w:themeColor="text1" w:themeTint="E6"/>
          <w:sz w:val="24"/>
        </w:rPr>
        <w:t xml:space="preserve"> is dictated by the need to provide safe navigation. It may be necessary to reposition an aid to navigation, including those that have been dedicated and named, for their position or to permanently withdraw them as appropriate. If an aid to navigation is withdrawn, MSQ may assign the name to another aid to navigation in the vicinity of the original structure</w:t>
      </w:r>
      <w:r w:rsidR="00251412">
        <w:rPr>
          <w:rFonts w:ascii="Arial" w:hAnsi="Arial"/>
          <w:color w:val="2F2F2F" w:themeColor="text1" w:themeTint="E6"/>
          <w:sz w:val="24"/>
        </w:rPr>
        <w:t>.</w:t>
      </w:r>
    </w:p>
    <w:p w14:paraId="0C95FB20" w14:textId="77777777" w:rsidR="002A0767" w:rsidRDefault="002A0767" w:rsidP="00646A31">
      <w:pPr>
        <w:pStyle w:val="Heading1"/>
      </w:pPr>
      <w:bookmarkStart w:id="41" w:name="_Toc210731154"/>
      <w:bookmarkStart w:id="42" w:name="_Toc215151613"/>
      <w:r>
        <w:t>Name selection</w:t>
      </w:r>
      <w:bookmarkEnd w:id="41"/>
      <w:bookmarkEnd w:id="42"/>
    </w:p>
    <w:p w14:paraId="1B75259D" w14:textId="77475DAE" w:rsidR="003D1092" w:rsidRPr="00347462" w:rsidRDefault="00A71736" w:rsidP="003D1092">
      <w:pPr>
        <w:pStyle w:val="BodyText"/>
        <w:rPr>
          <w:rFonts w:ascii="Arial" w:hAnsi="Arial"/>
          <w:color w:val="2F2F2F" w:themeColor="text1" w:themeTint="E6"/>
          <w:sz w:val="24"/>
        </w:rPr>
      </w:pPr>
      <w:r w:rsidRPr="00347462">
        <w:rPr>
          <w:rFonts w:ascii="Arial" w:hAnsi="Arial"/>
          <w:color w:val="2F2F2F" w:themeColor="text1" w:themeTint="E6"/>
          <w:sz w:val="24"/>
        </w:rPr>
        <w:t>B</w:t>
      </w:r>
      <w:r w:rsidR="003D1092" w:rsidRPr="00347462">
        <w:rPr>
          <w:rFonts w:ascii="Arial" w:hAnsi="Arial"/>
          <w:color w:val="2F2F2F" w:themeColor="text1" w:themeTint="E6"/>
          <w:sz w:val="24"/>
        </w:rPr>
        <w:t xml:space="preserve">usways, busway stations and bus stops are named </w:t>
      </w:r>
      <w:r w:rsidR="00605396" w:rsidRPr="00347462">
        <w:rPr>
          <w:rFonts w:ascii="Arial" w:hAnsi="Arial"/>
          <w:color w:val="2F2F2F" w:themeColor="text1" w:themeTint="E6"/>
          <w:sz w:val="24"/>
        </w:rPr>
        <w:t>in accordance with</w:t>
      </w:r>
      <w:r w:rsidR="003D1092" w:rsidRPr="00347462">
        <w:rPr>
          <w:rFonts w:ascii="Arial" w:hAnsi="Arial"/>
          <w:color w:val="2F2F2F" w:themeColor="text1" w:themeTint="E6"/>
          <w:sz w:val="24"/>
        </w:rPr>
        <w:t xml:space="preserve"> the </w:t>
      </w:r>
      <w:r w:rsidR="00835CE2" w:rsidRPr="00347462">
        <w:rPr>
          <w:rFonts w:ascii="Arial" w:hAnsi="Arial"/>
          <w:color w:val="2F2F2F" w:themeColor="text1" w:themeTint="E6"/>
          <w:sz w:val="24"/>
        </w:rPr>
        <w:t xml:space="preserve">Public Transport </w:t>
      </w:r>
      <w:r w:rsidR="003D1092" w:rsidRPr="00347462">
        <w:rPr>
          <w:rFonts w:ascii="Arial" w:hAnsi="Arial"/>
          <w:color w:val="2F2F2F" w:themeColor="text1" w:themeTint="E6"/>
          <w:sz w:val="24"/>
        </w:rPr>
        <w:t xml:space="preserve">Naming Guidelines and approved by the </w:t>
      </w:r>
      <w:r w:rsidR="006C3A27" w:rsidRPr="00347462">
        <w:rPr>
          <w:rFonts w:ascii="Arial" w:hAnsi="Arial"/>
          <w:color w:val="2F2F2F" w:themeColor="text1" w:themeTint="E6"/>
          <w:sz w:val="24"/>
        </w:rPr>
        <w:t>Minister</w:t>
      </w:r>
      <w:r w:rsidR="003D1092" w:rsidRPr="00347462">
        <w:rPr>
          <w:rFonts w:ascii="Arial" w:hAnsi="Arial"/>
          <w:color w:val="2F2F2F" w:themeColor="text1" w:themeTint="E6"/>
          <w:sz w:val="24"/>
        </w:rPr>
        <w:t>.</w:t>
      </w:r>
    </w:p>
    <w:p w14:paraId="70CFA901" w14:textId="1DCF663A" w:rsidR="002A0767" w:rsidRPr="00154C8C" w:rsidRDefault="00FD484D" w:rsidP="00A725AE">
      <w:pPr>
        <w:pStyle w:val="BodyText"/>
        <w:rPr>
          <w:rFonts w:ascii="Arial" w:hAnsi="Arial"/>
          <w:color w:val="2F2F2F" w:themeColor="text1" w:themeTint="E6"/>
          <w:sz w:val="24"/>
        </w:rPr>
      </w:pPr>
      <w:r w:rsidRPr="00347462">
        <w:rPr>
          <w:rFonts w:ascii="Arial" w:hAnsi="Arial"/>
          <w:color w:val="2F2F2F" w:themeColor="text1" w:themeTint="E6"/>
          <w:sz w:val="24"/>
        </w:rPr>
        <w:t>All other transport infrastructure names</w:t>
      </w:r>
      <w:r w:rsidR="00835CE2" w:rsidRPr="00347462">
        <w:rPr>
          <w:rFonts w:ascii="Arial" w:hAnsi="Arial"/>
          <w:color w:val="2F2F2F" w:themeColor="text1" w:themeTint="E6"/>
          <w:sz w:val="24"/>
        </w:rPr>
        <w:t>, including train stations,</w:t>
      </w:r>
      <w:r w:rsidRPr="00347462">
        <w:rPr>
          <w:rFonts w:ascii="Arial" w:hAnsi="Arial"/>
          <w:color w:val="2F2F2F" w:themeColor="text1" w:themeTint="E6"/>
          <w:sz w:val="24"/>
        </w:rPr>
        <w:t xml:space="preserve"> are approved by the Minister for Transport and Main Roads in line with the Naming of Infrastructure Procedure.</w:t>
      </w:r>
    </w:p>
    <w:p w14:paraId="591F50DF" w14:textId="77777777" w:rsidR="002A0767" w:rsidRPr="00E75532" w:rsidRDefault="002A0767" w:rsidP="00646A31">
      <w:pPr>
        <w:pStyle w:val="Heading2"/>
      </w:pPr>
      <w:bookmarkStart w:id="43" w:name="_Toc210731155"/>
      <w:bookmarkStart w:id="44" w:name="_Toc215151614"/>
      <w:r>
        <w:t>Publicly initiated proposals</w:t>
      </w:r>
      <w:bookmarkEnd w:id="43"/>
      <w:bookmarkEnd w:id="44"/>
    </w:p>
    <w:p w14:paraId="216E6410" w14:textId="348C7934" w:rsidR="002A0767" w:rsidRDefault="002A0767" w:rsidP="00E53EB4">
      <w:pPr>
        <w:spacing w:after="120" w:line="300" w:lineRule="atLeast"/>
      </w:pPr>
      <w:r>
        <w:t>Members of the public, including c</w:t>
      </w:r>
      <w:r w:rsidRPr="00A3587D">
        <w:t xml:space="preserve">ommunity interest groups can develop a proposal to name, or change the name, of transport infrastructure owned or operated by TMR. The </w:t>
      </w:r>
      <w:r>
        <w:t xml:space="preserve">written </w:t>
      </w:r>
      <w:r w:rsidRPr="00A3587D">
        <w:t xml:space="preserve">proposal </w:t>
      </w:r>
      <w:r>
        <w:t>must be submitted to the appropriate area of TMR who will assess the proposal against the principles of this policy and supporting procedure.</w:t>
      </w:r>
    </w:p>
    <w:p w14:paraId="2301869E" w14:textId="77777777" w:rsidR="002A0767" w:rsidRDefault="002A0767" w:rsidP="00E53EB4">
      <w:pPr>
        <w:spacing w:after="120" w:line="300" w:lineRule="atLeast"/>
        <w:rPr>
          <w:rFonts w:ascii="Aptos" w:hAnsi="Aptos"/>
          <w:color w:val="auto"/>
          <w:sz w:val="22"/>
        </w:rPr>
      </w:pPr>
      <w:r w:rsidRPr="00347462">
        <w:t>Due to the critical role of wayfinding and community principles, naming or renaming TMR infrastructure is a significant responsibility. Therefore, it is imperative that the Minister is thoroughly briefed before any naming process commences.</w:t>
      </w:r>
    </w:p>
    <w:p w14:paraId="0C9615D9" w14:textId="77777777" w:rsidR="002A0767" w:rsidRDefault="002A0767" w:rsidP="00646A31">
      <w:pPr>
        <w:pStyle w:val="Heading2"/>
      </w:pPr>
      <w:bookmarkStart w:id="45" w:name="_Toc210731156"/>
      <w:bookmarkStart w:id="46" w:name="_Toc215151615"/>
      <w:r>
        <w:lastRenderedPageBreak/>
        <w:t>Department initiated proposals</w:t>
      </w:r>
      <w:bookmarkEnd w:id="45"/>
      <w:bookmarkEnd w:id="46"/>
    </w:p>
    <w:p w14:paraId="74D0CD04" w14:textId="77777777" w:rsidR="002A0767" w:rsidRPr="002A3EBF" w:rsidRDefault="002A0767" w:rsidP="00A725AE">
      <w:pPr>
        <w:pStyle w:val="BodyText"/>
        <w:rPr>
          <w:rFonts w:ascii="Arial" w:hAnsi="Arial"/>
          <w:color w:val="2F2F2F" w:themeColor="text1" w:themeTint="E6"/>
          <w:sz w:val="24"/>
        </w:rPr>
      </w:pPr>
      <w:r w:rsidRPr="002A3EBF">
        <w:rPr>
          <w:rFonts w:ascii="Arial" w:hAnsi="Arial"/>
          <w:color w:val="2F2F2F" w:themeColor="text1" w:themeTint="E6"/>
          <w:sz w:val="24"/>
        </w:rPr>
        <w:t xml:space="preserve">TMR can initiate a proposal to name new or upgraded transport infrastructure and may invite members of the public to become involved in the process to make a naming suggestion. TMR will manage the involvement of the community in a consultation process that will provide submissions from which TMR will develop a proposal for consideration by the Minister. </w:t>
      </w:r>
    </w:p>
    <w:p w14:paraId="09561296" w14:textId="77777777" w:rsidR="002A0767" w:rsidRPr="005016F0" w:rsidRDefault="002A0767" w:rsidP="00646A31">
      <w:pPr>
        <w:pStyle w:val="Heading2"/>
      </w:pPr>
      <w:bookmarkStart w:id="47" w:name="_Toc215151616"/>
      <w:r w:rsidRPr="005016F0">
        <w:t>Consultation</w:t>
      </w:r>
      <w:bookmarkEnd w:id="47"/>
    </w:p>
    <w:p w14:paraId="4613A8FB" w14:textId="77777777" w:rsidR="002A0767" w:rsidRDefault="002A0767" w:rsidP="00A725AE">
      <w:pPr>
        <w:pStyle w:val="BodyText"/>
        <w:rPr>
          <w:rFonts w:ascii="Arial" w:hAnsi="Arial"/>
          <w:color w:val="2F2F2F" w:themeColor="text1" w:themeTint="E6"/>
          <w:sz w:val="24"/>
        </w:rPr>
      </w:pPr>
      <w:r w:rsidRPr="005016F0">
        <w:rPr>
          <w:rFonts w:ascii="Arial" w:hAnsi="Arial"/>
          <w:color w:val="2F2F2F" w:themeColor="text1" w:themeTint="E6"/>
          <w:sz w:val="24"/>
        </w:rPr>
        <w:t>Consultation is a key component in the process of naming and renaming transport infrastructure assets. The level and method of engagement will vary depending on the characteristics and significance of the infrastructure and the interest of the community.</w:t>
      </w:r>
    </w:p>
    <w:p w14:paraId="7B4690A1" w14:textId="77777777" w:rsidR="002A0767" w:rsidRPr="00347462" w:rsidRDefault="002A0767" w:rsidP="00A725AE">
      <w:pPr>
        <w:pStyle w:val="BodyText"/>
        <w:rPr>
          <w:rFonts w:ascii="Arial" w:hAnsi="Arial"/>
          <w:color w:val="2F2F2F" w:themeColor="text1" w:themeTint="E6"/>
          <w:sz w:val="24"/>
        </w:rPr>
      </w:pPr>
      <w:r w:rsidRPr="005016F0">
        <w:rPr>
          <w:rFonts w:ascii="Arial" w:hAnsi="Arial"/>
          <w:color w:val="2F2F2F" w:themeColor="text1" w:themeTint="E6"/>
          <w:sz w:val="24"/>
        </w:rPr>
        <w:t xml:space="preserve">Naming transport infrastructure assets is an opportunity for TMR to engage with the </w:t>
      </w:r>
      <w:r w:rsidRPr="00347462">
        <w:rPr>
          <w:rFonts w:ascii="Arial" w:hAnsi="Arial"/>
          <w:color w:val="2F2F2F" w:themeColor="text1" w:themeTint="E6"/>
          <w:sz w:val="24"/>
        </w:rPr>
        <w:t>community in a positive and interactive way.</w:t>
      </w:r>
    </w:p>
    <w:p w14:paraId="4A12EAF7" w14:textId="0C129ADB" w:rsidR="002A0767" w:rsidRPr="005016F0" w:rsidRDefault="002A0767" w:rsidP="00A725AE">
      <w:pPr>
        <w:pStyle w:val="BodyText"/>
        <w:rPr>
          <w:rFonts w:ascii="Arial" w:hAnsi="Arial"/>
          <w:color w:val="2F2F2F" w:themeColor="text1" w:themeTint="E6"/>
          <w:sz w:val="24"/>
        </w:rPr>
      </w:pPr>
      <w:r w:rsidRPr="00347462">
        <w:rPr>
          <w:rFonts w:ascii="Arial" w:hAnsi="Arial"/>
          <w:color w:val="2F2F2F" w:themeColor="text1" w:themeTint="E6"/>
          <w:sz w:val="24"/>
        </w:rPr>
        <w:t>The relevant Local Government should also be consulted as representatives of the local community.</w:t>
      </w:r>
      <w:r>
        <w:rPr>
          <w:rFonts w:ascii="Arial" w:hAnsi="Arial"/>
          <w:color w:val="2F2F2F" w:themeColor="text1" w:themeTint="E6"/>
          <w:sz w:val="24"/>
        </w:rPr>
        <w:t xml:space="preserve"> </w:t>
      </w:r>
    </w:p>
    <w:p w14:paraId="52CCE63D" w14:textId="77777777" w:rsidR="002A0767" w:rsidRDefault="002A0767" w:rsidP="00646A31">
      <w:pPr>
        <w:pStyle w:val="Heading1"/>
      </w:pPr>
      <w:bookmarkStart w:id="48" w:name="_Toc210731157"/>
      <w:bookmarkStart w:id="49" w:name="_Toc215151617"/>
      <w:r>
        <w:t>Public Information</w:t>
      </w:r>
      <w:bookmarkEnd w:id="48"/>
      <w:bookmarkEnd w:id="49"/>
    </w:p>
    <w:p w14:paraId="19A98A34" w14:textId="77777777" w:rsidR="002A0767" w:rsidRPr="00B06A5D" w:rsidRDefault="002A0767" w:rsidP="00A725AE">
      <w:pPr>
        <w:pStyle w:val="BodyText"/>
        <w:rPr>
          <w:rFonts w:ascii="Arial" w:hAnsi="Arial"/>
          <w:color w:val="2F2F2F" w:themeColor="text1" w:themeTint="E6"/>
          <w:sz w:val="24"/>
        </w:rPr>
      </w:pPr>
      <w:r w:rsidRPr="00B06A5D">
        <w:rPr>
          <w:rFonts w:ascii="Arial" w:hAnsi="Arial"/>
          <w:color w:val="2F2F2F" w:themeColor="text1" w:themeTint="E6"/>
          <w:sz w:val="24"/>
        </w:rPr>
        <w:t>The effective application of any policy relies heavily on access to the relevant information. This applies to both internal staff who administer the policy and external customers wishing to find out what is required.</w:t>
      </w:r>
    </w:p>
    <w:p w14:paraId="1827B0C7" w14:textId="3F782AFA" w:rsidR="002A0767" w:rsidRPr="00B06A5D" w:rsidRDefault="002A0767" w:rsidP="095727E2">
      <w:pPr>
        <w:pStyle w:val="BodyText"/>
        <w:rPr>
          <w:rFonts w:ascii="Arial" w:hAnsi="Arial"/>
          <w:color w:val="2F2F2F" w:themeColor="text1" w:themeTint="E6"/>
          <w:sz w:val="24"/>
          <w:szCs w:val="24"/>
        </w:rPr>
      </w:pPr>
      <w:r w:rsidRPr="095727E2">
        <w:rPr>
          <w:rFonts w:ascii="Arial" w:hAnsi="Arial"/>
          <w:color w:val="2F2F2F" w:themeColor="text1" w:themeTint="E6"/>
          <w:sz w:val="24"/>
          <w:szCs w:val="24"/>
        </w:rPr>
        <w:t xml:space="preserve">Information on how transport </w:t>
      </w:r>
      <w:proofErr w:type="spellStart"/>
      <w:r w:rsidRPr="095727E2">
        <w:rPr>
          <w:rFonts w:ascii="Arial" w:hAnsi="Arial"/>
          <w:color w:val="2F2F2F" w:themeColor="text1" w:themeTint="E6"/>
          <w:sz w:val="24"/>
          <w:szCs w:val="24"/>
        </w:rPr>
        <w:t>infrastrucutre</w:t>
      </w:r>
      <w:proofErr w:type="spellEnd"/>
      <w:r w:rsidR="0BF76F6F" w:rsidRPr="095727E2">
        <w:rPr>
          <w:rFonts w:ascii="Arial" w:hAnsi="Arial"/>
          <w:color w:val="2F2F2F" w:themeColor="text1" w:themeTint="E6"/>
          <w:sz w:val="24"/>
          <w:szCs w:val="24"/>
        </w:rPr>
        <w:t xml:space="preserve"> </w:t>
      </w:r>
      <w:r w:rsidRPr="095727E2">
        <w:rPr>
          <w:rFonts w:ascii="Arial" w:hAnsi="Arial"/>
          <w:color w:val="2F2F2F" w:themeColor="text1" w:themeTint="E6"/>
          <w:sz w:val="24"/>
          <w:szCs w:val="24"/>
        </w:rPr>
        <w:t xml:space="preserve">is named is available on TMR’s website.  </w:t>
      </w:r>
    </w:p>
    <w:p w14:paraId="45B58B7F" w14:textId="77777777" w:rsidR="002A0767" w:rsidRDefault="002A0767" w:rsidP="00646A31">
      <w:pPr>
        <w:pStyle w:val="Heading1"/>
      </w:pPr>
      <w:bookmarkStart w:id="50" w:name="_Toc210731158"/>
      <w:bookmarkStart w:id="51" w:name="_Toc215151618"/>
      <w:r>
        <w:t>Implementation and Revision</w:t>
      </w:r>
      <w:bookmarkEnd w:id="50"/>
      <w:bookmarkEnd w:id="51"/>
    </w:p>
    <w:p w14:paraId="60B572BB" w14:textId="77777777" w:rsidR="002A0767" w:rsidRPr="00D71040" w:rsidRDefault="002A0767" w:rsidP="00A725AE">
      <w:pPr>
        <w:pStyle w:val="BodyText"/>
        <w:rPr>
          <w:rFonts w:ascii="Arial" w:hAnsi="Arial"/>
          <w:color w:val="2F2F2F" w:themeColor="text1" w:themeTint="E6"/>
          <w:sz w:val="24"/>
        </w:rPr>
      </w:pPr>
      <w:r w:rsidRPr="00D71040">
        <w:rPr>
          <w:rFonts w:ascii="Arial" w:hAnsi="Arial"/>
          <w:color w:val="2F2F2F" w:themeColor="text1" w:themeTint="E6"/>
          <w:sz w:val="24"/>
        </w:rPr>
        <w:t xml:space="preserve">This policy will be implemented through the relevant business units involved in the naming of transport infrastructure assets, including Program Delivery and Operations Branch, </w:t>
      </w:r>
      <w:r>
        <w:rPr>
          <w:rFonts w:ascii="Arial" w:hAnsi="Arial"/>
          <w:color w:val="2F2F2F" w:themeColor="text1" w:themeTint="E6"/>
          <w:sz w:val="24"/>
        </w:rPr>
        <w:t>NSOD</w:t>
      </w:r>
      <w:r w:rsidRPr="00D71040">
        <w:rPr>
          <w:rFonts w:ascii="Arial" w:hAnsi="Arial"/>
          <w:color w:val="2F2F2F" w:themeColor="text1" w:themeTint="E6"/>
          <w:sz w:val="24"/>
        </w:rPr>
        <w:t xml:space="preserve"> and MSQ Branch.</w:t>
      </w:r>
    </w:p>
    <w:p w14:paraId="2BFF69D8" w14:textId="77777777" w:rsidR="002A0767" w:rsidRDefault="002A0767" w:rsidP="00A725AE">
      <w:pPr>
        <w:pStyle w:val="BodyText"/>
        <w:rPr>
          <w:rFonts w:ascii="Arial" w:hAnsi="Arial"/>
          <w:color w:val="2F2F2F" w:themeColor="text1" w:themeTint="E6"/>
          <w:sz w:val="24"/>
        </w:rPr>
      </w:pPr>
      <w:r w:rsidRPr="00D71040">
        <w:rPr>
          <w:rFonts w:ascii="Arial" w:hAnsi="Arial"/>
          <w:color w:val="2F2F2F" w:themeColor="text1" w:themeTint="E6"/>
          <w:sz w:val="24"/>
        </w:rPr>
        <w:t>The policy will be reviewed on an as needs basis.</w:t>
      </w:r>
    </w:p>
    <w:p w14:paraId="008C4B41" w14:textId="77777777" w:rsidR="002A0767" w:rsidRPr="00A03A44" w:rsidRDefault="002A0767" w:rsidP="00646A31">
      <w:pPr>
        <w:pStyle w:val="Heading1"/>
      </w:pPr>
      <w:bookmarkStart w:id="52" w:name="_Toc210731159"/>
      <w:bookmarkStart w:id="53" w:name="_Toc215151619"/>
      <w:r w:rsidRPr="00A03A44">
        <w:t>Associated Policy Documents</w:t>
      </w:r>
      <w:bookmarkEnd w:id="52"/>
      <w:bookmarkEnd w:id="53"/>
    </w:p>
    <w:p w14:paraId="212FB08A" w14:textId="77777777" w:rsidR="002A0767" w:rsidRPr="00154C8C" w:rsidRDefault="002A0767" w:rsidP="00A725AE">
      <w:pPr>
        <w:pStyle w:val="BodyText"/>
        <w:rPr>
          <w:rFonts w:ascii="Arial" w:hAnsi="Arial"/>
          <w:color w:val="2F2F2F" w:themeColor="text1" w:themeTint="E6"/>
          <w:sz w:val="24"/>
        </w:rPr>
      </w:pPr>
      <w:r w:rsidRPr="00154C8C">
        <w:rPr>
          <w:rFonts w:ascii="Arial" w:hAnsi="Arial"/>
          <w:color w:val="2F2F2F" w:themeColor="text1" w:themeTint="E6"/>
          <w:sz w:val="24"/>
        </w:rPr>
        <w:t>This document should be read together with:</w:t>
      </w:r>
    </w:p>
    <w:p w14:paraId="3D947341" w14:textId="77777777" w:rsidR="002A0767" w:rsidRPr="00154C8C" w:rsidRDefault="002A0767" w:rsidP="00A725AE">
      <w:pPr>
        <w:pStyle w:val="BodyText"/>
        <w:numPr>
          <w:ilvl w:val="0"/>
          <w:numId w:val="14"/>
        </w:numPr>
        <w:rPr>
          <w:rFonts w:ascii="Arial" w:hAnsi="Arial"/>
          <w:color w:val="2F2F2F" w:themeColor="text1" w:themeTint="E6"/>
          <w:sz w:val="24"/>
        </w:rPr>
      </w:pPr>
      <w:r w:rsidRPr="00154C8C">
        <w:rPr>
          <w:rFonts w:ascii="Arial" w:hAnsi="Arial"/>
          <w:color w:val="2F2F2F" w:themeColor="text1" w:themeTint="E6"/>
          <w:sz w:val="24"/>
        </w:rPr>
        <w:t>Dedication and Naming of Aids to Navigation (2025) (MSQ Branch)</w:t>
      </w:r>
    </w:p>
    <w:p w14:paraId="031650C8" w14:textId="46378CE1" w:rsidR="002A0767" w:rsidRPr="00154844" w:rsidRDefault="00347462" w:rsidP="00A725AE">
      <w:pPr>
        <w:pStyle w:val="BodyText"/>
        <w:numPr>
          <w:ilvl w:val="0"/>
          <w:numId w:val="14"/>
        </w:numPr>
        <w:rPr>
          <w:rFonts w:ascii="Arial" w:hAnsi="Arial"/>
          <w:color w:val="2F2F2F" w:themeColor="text1" w:themeTint="E6"/>
          <w:sz w:val="24"/>
        </w:rPr>
      </w:pPr>
      <w:r>
        <w:rPr>
          <w:rFonts w:ascii="Arial" w:hAnsi="Arial"/>
          <w:color w:val="2F2F2F" w:themeColor="text1" w:themeTint="E6"/>
          <w:sz w:val="24"/>
        </w:rPr>
        <w:t xml:space="preserve">Public Transport </w:t>
      </w:r>
      <w:r w:rsidR="002A0767" w:rsidRPr="00154844">
        <w:rPr>
          <w:rFonts w:ascii="Arial" w:hAnsi="Arial"/>
          <w:color w:val="2F2F2F" w:themeColor="text1" w:themeTint="E6"/>
          <w:sz w:val="24"/>
        </w:rPr>
        <w:t>Naming Guidelines</w:t>
      </w:r>
      <w:r w:rsidR="0034498B" w:rsidRPr="00154844">
        <w:rPr>
          <w:rFonts w:ascii="Arial" w:hAnsi="Arial"/>
          <w:color w:val="2F2F2F" w:themeColor="text1" w:themeTint="E6"/>
          <w:sz w:val="24"/>
        </w:rPr>
        <w:t>:</w:t>
      </w:r>
      <w:r>
        <w:rPr>
          <w:rFonts w:ascii="Arial" w:hAnsi="Arial"/>
          <w:color w:val="2F2F2F" w:themeColor="text1" w:themeTint="E6"/>
          <w:sz w:val="24"/>
        </w:rPr>
        <w:t>2019</w:t>
      </w:r>
      <w:r w:rsidR="002A0767" w:rsidRPr="00154844">
        <w:rPr>
          <w:rFonts w:ascii="Arial" w:hAnsi="Arial"/>
          <w:color w:val="2F2F2F" w:themeColor="text1" w:themeTint="E6"/>
          <w:sz w:val="24"/>
        </w:rPr>
        <w:t xml:space="preserve"> (Network Services and Operations Division)</w:t>
      </w:r>
    </w:p>
    <w:p w14:paraId="0A25C175" w14:textId="101257DD" w:rsidR="002A0767" w:rsidRPr="00A03A44" w:rsidRDefault="002A0767" w:rsidP="00A725AE">
      <w:pPr>
        <w:pStyle w:val="BodyText"/>
        <w:numPr>
          <w:ilvl w:val="0"/>
          <w:numId w:val="14"/>
        </w:numPr>
        <w:rPr>
          <w:rFonts w:ascii="Arial" w:hAnsi="Arial"/>
          <w:color w:val="2F2F2F" w:themeColor="text1" w:themeTint="E6"/>
          <w:sz w:val="24"/>
        </w:rPr>
      </w:pPr>
      <w:r w:rsidRPr="00154C8C">
        <w:rPr>
          <w:rFonts w:ascii="Arial" w:hAnsi="Arial"/>
          <w:color w:val="2F2F2F" w:themeColor="text1" w:themeTint="E6"/>
          <w:sz w:val="24"/>
        </w:rPr>
        <w:lastRenderedPageBreak/>
        <w:t>Strategy for Naming and Co-naming of public</w:t>
      </w:r>
      <w:r w:rsidRPr="00A03A44">
        <w:rPr>
          <w:rFonts w:ascii="Arial" w:hAnsi="Arial"/>
          <w:color w:val="2F2F2F" w:themeColor="text1" w:themeTint="E6"/>
          <w:sz w:val="24"/>
        </w:rPr>
        <w:t xml:space="preserve"> buildings and facilities (2017) (DN</w:t>
      </w:r>
      <w:r>
        <w:rPr>
          <w:rFonts w:ascii="Arial" w:hAnsi="Arial"/>
          <w:color w:val="2F2F2F" w:themeColor="text1" w:themeTint="E6"/>
          <w:sz w:val="24"/>
        </w:rPr>
        <w:t>RMMRRD)</w:t>
      </w:r>
      <w:r w:rsidR="00251412">
        <w:rPr>
          <w:rFonts w:ascii="Arial" w:hAnsi="Arial"/>
          <w:color w:val="2F2F2F" w:themeColor="text1" w:themeTint="E6"/>
          <w:sz w:val="24"/>
        </w:rPr>
        <w:t>.</w:t>
      </w:r>
    </w:p>
    <w:p w14:paraId="657B4CD7" w14:textId="77777777" w:rsidR="002A0767" w:rsidRPr="00456956" w:rsidRDefault="002A0767" w:rsidP="00646A31">
      <w:pPr>
        <w:pStyle w:val="Heading1"/>
      </w:pPr>
      <w:bookmarkStart w:id="54" w:name="_Toc210731160"/>
      <w:bookmarkStart w:id="55" w:name="_Toc215151620"/>
      <w:r w:rsidRPr="00456956">
        <w:t>Glossary</w:t>
      </w:r>
      <w:bookmarkEnd w:id="54"/>
      <w:bookmarkEnd w:id="55"/>
    </w:p>
    <w:tbl>
      <w:tblPr>
        <w:tblStyle w:val="GlossaryTableForma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2A0767" w:rsidRPr="00456956" w14:paraId="64576AE6" w14:textId="77777777" w:rsidTr="00164B1A">
        <w:trPr>
          <w:cnfStyle w:val="000000100000" w:firstRow="0" w:lastRow="0" w:firstColumn="0" w:lastColumn="0" w:oddVBand="0" w:evenVBand="0" w:oddHBand="1" w:evenHBand="0" w:firstRowFirstColumn="0" w:firstRowLastColumn="0" w:lastRowFirstColumn="0" w:lastRowLastColumn="0"/>
        </w:trPr>
        <w:tc>
          <w:tcPr>
            <w:tcW w:w="3544" w:type="dxa"/>
            <w:shd w:val="clear" w:color="auto" w:fill="003C69"/>
          </w:tcPr>
          <w:p w14:paraId="463FD2CD" w14:textId="77777777" w:rsidR="002A0767" w:rsidRPr="00456956" w:rsidRDefault="002A0767" w:rsidP="00E53EB4">
            <w:pPr>
              <w:pStyle w:val="TableText"/>
              <w:spacing w:after="120" w:line="300" w:lineRule="atLeast"/>
              <w:jc w:val="center"/>
              <w:rPr>
                <w:b/>
                <w:sz w:val="24"/>
                <w:szCs w:val="24"/>
              </w:rPr>
            </w:pPr>
            <w:r w:rsidRPr="00456956">
              <w:rPr>
                <w:b/>
                <w:sz w:val="24"/>
                <w:szCs w:val="24"/>
              </w:rPr>
              <w:t>Term, abbreviation or acronym</w:t>
            </w:r>
          </w:p>
        </w:tc>
        <w:tc>
          <w:tcPr>
            <w:tcW w:w="6095" w:type="dxa"/>
            <w:shd w:val="clear" w:color="auto" w:fill="003C69"/>
          </w:tcPr>
          <w:p w14:paraId="1986D2F3" w14:textId="77777777" w:rsidR="002A0767" w:rsidRPr="00456956" w:rsidRDefault="002A0767" w:rsidP="00E53EB4">
            <w:pPr>
              <w:pStyle w:val="TableText"/>
              <w:spacing w:after="120" w:line="300" w:lineRule="atLeast"/>
              <w:jc w:val="center"/>
              <w:rPr>
                <w:b/>
                <w:sz w:val="24"/>
                <w:szCs w:val="24"/>
              </w:rPr>
            </w:pPr>
            <w:r w:rsidRPr="00456956">
              <w:rPr>
                <w:b/>
                <w:sz w:val="24"/>
                <w:szCs w:val="24"/>
              </w:rPr>
              <w:t>Description</w:t>
            </w:r>
          </w:p>
        </w:tc>
      </w:tr>
      <w:tr w:rsidR="002A0767" w:rsidRPr="00456956" w14:paraId="2F8932E3" w14:textId="77777777" w:rsidTr="00164B1A">
        <w:trPr>
          <w:trHeight w:val="300"/>
        </w:trPr>
        <w:tc>
          <w:tcPr>
            <w:tcW w:w="3544" w:type="dxa"/>
          </w:tcPr>
          <w:p w14:paraId="08ACE35B" w14:textId="77777777" w:rsidR="002A0767" w:rsidRPr="00456956" w:rsidRDefault="002A0767" w:rsidP="00E53EB4">
            <w:pPr>
              <w:pStyle w:val="TableText"/>
              <w:spacing w:after="120" w:line="300" w:lineRule="atLeast"/>
              <w:rPr>
                <w:sz w:val="24"/>
                <w:szCs w:val="24"/>
              </w:rPr>
            </w:pPr>
            <w:r w:rsidRPr="00456956">
              <w:rPr>
                <w:sz w:val="24"/>
                <w:szCs w:val="24"/>
              </w:rPr>
              <w:t>Aid to Navigation</w:t>
            </w:r>
            <w:r>
              <w:rPr>
                <w:sz w:val="24"/>
                <w:szCs w:val="24"/>
              </w:rPr>
              <w:t xml:space="preserve"> (AtoN)</w:t>
            </w:r>
          </w:p>
        </w:tc>
        <w:tc>
          <w:tcPr>
            <w:tcW w:w="6095" w:type="dxa"/>
          </w:tcPr>
          <w:p w14:paraId="6B9ADFD1" w14:textId="77777777" w:rsidR="002A0767" w:rsidRPr="00456956" w:rsidRDefault="002A0767" w:rsidP="00E53EB4">
            <w:pPr>
              <w:pStyle w:val="TableText"/>
              <w:spacing w:after="120" w:line="300" w:lineRule="atLeast"/>
              <w:rPr>
                <w:sz w:val="24"/>
                <w:szCs w:val="24"/>
              </w:rPr>
            </w:pPr>
            <w:r w:rsidRPr="00456956">
              <w:rPr>
                <w:sz w:val="24"/>
                <w:szCs w:val="24"/>
              </w:rPr>
              <w:t>A device or system external to ships that is designed and operated to enhance the safe and efficient navigation of ships and/or ship traffic</w:t>
            </w:r>
          </w:p>
        </w:tc>
      </w:tr>
      <w:tr w:rsidR="002A0767" w:rsidRPr="00456956" w14:paraId="3DE2545D" w14:textId="77777777" w:rsidTr="00164B1A">
        <w:trPr>
          <w:cnfStyle w:val="000000100000" w:firstRow="0" w:lastRow="0" w:firstColumn="0" w:lastColumn="0" w:oddVBand="0" w:evenVBand="0" w:oddHBand="1" w:evenHBand="0" w:firstRowFirstColumn="0" w:firstRowLastColumn="0" w:lastRowFirstColumn="0" w:lastRowLastColumn="0"/>
          <w:trHeight w:val="300"/>
        </w:trPr>
        <w:tc>
          <w:tcPr>
            <w:tcW w:w="3544" w:type="dxa"/>
          </w:tcPr>
          <w:p w14:paraId="3D71FFEA" w14:textId="77777777" w:rsidR="002A0767" w:rsidRPr="00456956" w:rsidRDefault="002A0767" w:rsidP="00E53EB4">
            <w:pPr>
              <w:pStyle w:val="TableText"/>
              <w:spacing w:after="120" w:line="300" w:lineRule="atLeast"/>
              <w:rPr>
                <w:sz w:val="24"/>
                <w:szCs w:val="24"/>
              </w:rPr>
            </w:pPr>
            <w:r w:rsidRPr="00456956">
              <w:rPr>
                <w:sz w:val="24"/>
                <w:szCs w:val="24"/>
              </w:rPr>
              <w:t>Franchised roads</w:t>
            </w:r>
          </w:p>
        </w:tc>
        <w:tc>
          <w:tcPr>
            <w:tcW w:w="6095" w:type="dxa"/>
          </w:tcPr>
          <w:p w14:paraId="5973787E" w14:textId="77777777" w:rsidR="002A0767" w:rsidRPr="00456956" w:rsidRDefault="002A0767" w:rsidP="00E53EB4">
            <w:pPr>
              <w:pStyle w:val="TableText"/>
              <w:spacing w:after="120" w:line="300" w:lineRule="atLeast"/>
              <w:rPr>
                <w:rStyle w:val="listnumber0"/>
                <w:i/>
                <w:color w:val="000000"/>
                <w:sz w:val="24"/>
                <w:szCs w:val="24"/>
                <w:lang w:val="en"/>
              </w:rPr>
            </w:pPr>
            <w:r w:rsidRPr="00456956">
              <w:rPr>
                <w:sz w:val="24"/>
                <w:szCs w:val="24"/>
              </w:rPr>
              <w:t>A road to which a road franchise agreement applies, and includes facilities identified in the road franchise agreement that are on or adjacent to the road and relate to the operation or servicing of the road or facilities for road users.</w:t>
            </w:r>
          </w:p>
        </w:tc>
      </w:tr>
      <w:tr w:rsidR="002A0767" w:rsidRPr="00456956" w14:paraId="444DA7B2" w14:textId="77777777" w:rsidTr="00164B1A">
        <w:trPr>
          <w:trHeight w:val="300"/>
        </w:trPr>
        <w:tc>
          <w:tcPr>
            <w:tcW w:w="3544" w:type="dxa"/>
            <w:noWrap/>
          </w:tcPr>
          <w:p w14:paraId="2ECB3E6A" w14:textId="77777777" w:rsidR="002A0767" w:rsidRPr="00456956" w:rsidRDefault="002A0767" w:rsidP="00E53EB4">
            <w:pPr>
              <w:pStyle w:val="TableText"/>
              <w:spacing w:after="120" w:line="300" w:lineRule="atLeast"/>
              <w:rPr>
                <w:sz w:val="24"/>
                <w:szCs w:val="24"/>
              </w:rPr>
            </w:pPr>
            <w:r w:rsidRPr="00456956">
              <w:rPr>
                <w:sz w:val="24"/>
                <w:szCs w:val="24"/>
              </w:rPr>
              <w:t>MSQ</w:t>
            </w:r>
          </w:p>
        </w:tc>
        <w:tc>
          <w:tcPr>
            <w:tcW w:w="6095" w:type="dxa"/>
            <w:noWrap/>
          </w:tcPr>
          <w:p w14:paraId="46263F0D" w14:textId="77777777" w:rsidR="002A0767" w:rsidRPr="00456956" w:rsidRDefault="002A0767" w:rsidP="00E53EB4">
            <w:pPr>
              <w:pStyle w:val="TableText"/>
              <w:spacing w:after="120" w:line="300" w:lineRule="atLeast"/>
              <w:rPr>
                <w:rFonts w:cstheme="minorHAnsi"/>
                <w:sz w:val="24"/>
                <w:szCs w:val="24"/>
              </w:rPr>
            </w:pPr>
            <w:r w:rsidRPr="00456956">
              <w:rPr>
                <w:rFonts w:cstheme="minorHAnsi"/>
                <w:sz w:val="24"/>
                <w:szCs w:val="24"/>
              </w:rPr>
              <w:t xml:space="preserve">Maritime Safety Queensland </w:t>
            </w:r>
          </w:p>
        </w:tc>
      </w:tr>
      <w:tr w:rsidR="002A0767" w:rsidRPr="00456956" w14:paraId="763D441F" w14:textId="77777777" w:rsidTr="00164B1A">
        <w:trPr>
          <w:cnfStyle w:val="000000100000" w:firstRow="0" w:lastRow="0" w:firstColumn="0" w:lastColumn="0" w:oddVBand="0" w:evenVBand="0" w:oddHBand="1" w:evenHBand="0" w:firstRowFirstColumn="0" w:firstRowLastColumn="0" w:lastRowFirstColumn="0" w:lastRowLastColumn="0"/>
          <w:trHeight w:val="300"/>
        </w:trPr>
        <w:tc>
          <w:tcPr>
            <w:tcW w:w="3544" w:type="dxa"/>
            <w:noWrap/>
          </w:tcPr>
          <w:p w14:paraId="72272690" w14:textId="77777777" w:rsidR="002A0767" w:rsidRPr="00456956" w:rsidRDefault="002A0767" w:rsidP="00E53EB4">
            <w:pPr>
              <w:pStyle w:val="TableText"/>
              <w:spacing w:after="120" w:line="300" w:lineRule="atLeast"/>
              <w:rPr>
                <w:sz w:val="24"/>
                <w:szCs w:val="24"/>
              </w:rPr>
            </w:pPr>
            <w:r w:rsidRPr="00456956">
              <w:rPr>
                <w:sz w:val="24"/>
                <w:szCs w:val="24"/>
              </w:rPr>
              <w:t>Place</w:t>
            </w:r>
          </w:p>
        </w:tc>
        <w:tc>
          <w:tcPr>
            <w:tcW w:w="6095" w:type="dxa"/>
            <w:noWrap/>
          </w:tcPr>
          <w:p w14:paraId="62FF466A" w14:textId="77777777" w:rsidR="002A0767" w:rsidRPr="00456956" w:rsidRDefault="002A0767" w:rsidP="00E53EB4">
            <w:pPr>
              <w:pStyle w:val="TableText"/>
              <w:spacing w:after="120" w:line="300" w:lineRule="atLeast"/>
              <w:rPr>
                <w:rFonts w:cstheme="minorHAnsi"/>
                <w:sz w:val="24"/>
                <w:szCs w:val="24"/>
              </w:rPr>
            </w:pPr>
            <w:r w:rsidRPr="00456956">
              <w:rPr>
                <w:rFonts w:cstheme="minorHAnsi"/>
                <w:sz w:val="24"/>
                <w:szCs w:val="24"/>
              </w:rPr>
              <w:t xml:space="preserve">As defined in </w:t>
            </w:r>
            <w:r w:rsidRPr="00E53EB4">
              <w:rPr>
                <w:rFonts w:cstheme="minorHAnsi"/>
                <w:i/>
                <w:sz w:val="24"/>
                <w:szCs w:val="24"/>
              </w:rPr>
              <w:t>Place Names Act 1994</w:t>
            </w:r>
          </w:p>
        </w:tc>
      </w:tr>
      <w:tr w:rsidR="00B52487" w:rsidRPr="00456956" w14:paraId="25EB8B77" w14:textId="77777777" w:rsidTr="00164B1A">
        <w:trPr>
          <w:trHeight w:val="300"/>
        </w:trPr>
        <w:tc>
          <w:tcPr>
            <w:tcW w:w="3544" w:type="dxa"/>
            <w:noWrap/>
          </w:tcPr>
          <w:p w14:paraId="36BD331B" w14:textId="60C19C9C" w:rsidR="00B52487" w:rsidRPr="00456956" w:rsidRDefault="00B52487" w:rsidP="00E53EB4">
            <w:pPr>
              <w:pStyle w:val="TableText"/>
              <w:spacing w:after="120" w:line="300" w:lineRule="atLeast"/>
              <w:rPr>
                <w:sz w:val="24"/>
                <w:szCs w:val="24"/>
              </w:rPr>
            </w:pPr>
            <w:r>
              <w:rPr>
                <w:sz w:val="24"/>
                <w:szCs w:val="24"/>
              </w:rPr>
              <w:t>QR</w:t>
            </w:r>
          </w:p>
        </w:tc>
        <w:tc>
          <w:tcPr>
            <w:tcW w:w="6095" w:type="dxa"/>
            <w:noWrap/>
          </w:tcPr>
          <w:p w14:paraId="135E5B91" w14:textId="14DF76DA" w:rsidR="00B52487" w:rsidRPr="00456956" w:rsidRDefault="00B52487" w:rsidP="00E53EB4">
            <w:pPr>
              <w:pStyle w:val="TableText"/>
              <w:spacing w:after="120" w:line="300" w:lineRule="atLeast"/>
              <w:rPr>
                <w:rFonts w:cstheme="minorHAnsi"/>
                <w:sz w:val="24"/>
                <w:szCs w:val="24"/>
              </w:rPr>
            </w:pPr>
            <w:r>
              <w:rPr>
                <w:rFonts w:cstheme="minorHAnsi"/>
                <w:sz w:val="24"/>
                <w:szCs w:val="24"/>
              </w:rPr>
              <w:t>Queensland Rail</w:t>
            </w:r>
          </w:p>
        </w:tc>
      </w:tr>
      <w:tr w:rsidR="002A0767" w:rsidRPr="00456956" w14:paraId="70611CD4" w14:textId="77777777" w:rsidTr="00164B1A">
        <w:trPr>
          <w:cnfStyle w:val="000000100000" w:firstRow="0" w:lastRow="0" w:firstColumn="0" w:lastColumn="0" w:oddVBand="0" w:evenVBand="0" w:oddHBand="1" w:evenHBand="0" w:firstRowFirstColumn="0" w:firstRowLastColumn="0" w:lastRowFirstColumn="0" w:lastRowLastColumn="0"/>
          <w:trHeight w:val="300"/>
        </w:trPr>
        <w:tc>
          <w:tcPr>
            <w:tcW w:w="3544" w:type="dxa"/>
            <w:noWrap/>
          </w:tcPr>
          <w:p w14:paraId="276B3D85" w14:textId="77777777" w:rsidR="002A0767" w:rsidRPr="00456956" w:rsidRDefault="002A0767" w:rsidP="00E53EB4">
            <w:pPr>
              <w:pStyle w:val="TableText"/>
              <w:spacing w:after="120" w:line="300" w:lineRule="atLeast"/>
              <w:rPr>
                <w:sz w:val="24"/>
                <w:szCs w:val="24"/>
              </w:rPr>
            </w:pPr>
            <w:proofErr w:type="gramStart"/>
            <w:r w:rsidRPr="00456956">
              <w:rPr>
                <w:sz w:val="24"/>
                <w:szCs w:val="24"/>
              </w:rPr>
              <w:t>State-controlled road</w:t>
            </w:r>
            <w:proofErr w:type="gramEnd"/>
            <w:r w:rsidRPr="00456956">
              <w:rPr>
                <w:sz w:val="24"/>
                <w:szCs w:val="24"/>
              </w:rPr>
              <w:t xml:space="preserve"> (SCR)</w:t>
            </w:r>
          </w:p>
        </w:tc>
        <w:tc>
          <w:tcPr>
            <w:tcW w:w="6095" w:type="dxa"/>
            <w:noWrap/>
          </w:tcPr>
          <w:p w14:paraId="5823CC4A" w14:textId="77777777" w:rsidR="002A0767" w:rsidRPr="00456956" w:rsidRDefault="002A0767" w:rsidP="00E53EB4">
            <w:pPr>
              <w:pStyle w:val="TableText"/>
              <w:spacing w:after="120" w:line="300" w:lineRule="atLeast"/>
              <w:rPr>
                <w:sz w:val="24"/>
                <w:szCs w:val="24"/>
              </w:rPr>
            </w:pPr>
            <w:r w:rsidRPr="00456956">
              <w:rPr>
                <w:rFonts w:cstheme="minorHAnsi"/>
                <w:sz w:val="24"/>
                <w:szCs w:val="24"/>
              </w:rPr>
              <w:t xml:space="preserve">A road or route, or part of a road or route, declared by gazette notice to be a State-controlled road under Section 24 (1) of the </w:t>
            </w:r>
            <w:r w:rsidRPr="00456956">
              <w:rPr>
                <w:rFonts w:cstheme="minorHAnsi"/>
                <w:iCs/>
                <w:sz w:val="24"/>
                <w:szCs w:val="24"/>
              </w:rPr>
              <w:t>TIA.</w:t>
            </w:r>
          </w:p>
        </w:tc>
      </w:tr>
      <w:tr w:rsidR="002A0767" w:rsidRPr="00456956" w14:paraId="47983EAE" w14:textId="77777777" w:rsidTr="00164B1A">
        <w:trPr>
          <w:trHeight w:val="300"/>
        </w:trPr>
        <w:tc>
          <w:tcPr>
            <w:tcW w:w="3544" w:type="dxa"/>
            <w:noWrap/>
          </w:tcPr>
          <w:p w14:paraId="589BEB13" w14:textId="77777777" w:rsidR="002A0767" w:rsidRPr="00456956" w:rsidRDefault="002A0767" w:rsidP="00E53EB4">
            <w:pPr>
              <w:pStyle w:val="TableText"/>
              <w:spacing w:after="120" w:line="300" w:lineRule="atLeast"/>
              <w:rPr>
                <w:sz w:val="24"/>
                <w:szCs w:val="24"/>
              </w:rPr>
            </w:pPr>
            <w:r w:rsidRPr="00456956">
              <w:rPr>
                <w:sz w:val="24"/>
                <w:szCs w:val="24"/>
              </w:rPr>
              <w:t>Transport Infrastructure Act (TIA)</w:t>
            </w:r>
          </w:p>
        </w:tc>
        <w:tc>
          <w:tcPr>
            <w:tcW w:w="6095" w:type="dxa"/>
            <w:noWrap/>
          </w:tcPr>
          <w:p w14:paraId="70960DB1" w14:textId="77777777" w:rsidR="002A0767" w:rsidRPr="00456956" w:rsidRDefault="002A0767" w:rsidP="00E53EB4">
            <w:pPr>
              <w:pStyle w:val="TableText"/>
              <w:spacing w:after="120" w:line="300" w:lineRule="atLeast"/>
              <w:rPr>
                <w:sz w:val="24"/>
                <w:szCs w:val="24"/>
              </w:rPr>
            </w:pPr>
            <w:r w:rsidRPr="00456956">
              <w:rPr>
                <w:rFonts w:cstheme="minorHAnsi"/>
                <w:i/>
                <w:sz w:val="24"/>
                <w:szCs w:val="24"/>
              </w:rPr>
              <w:t>Transport Infrastructure Act 1994</w:t>
            </w:r>
            <w:r w:rsidRPr="00456956">
              <w:rPr>
                <w:rFonts w:cstheme="minorHAnsi"/>
                <w:sz w:val="24"/>
                <w:szCs w:val="24"/>
                <w:lang w:eastAsia="en-AU"/>
              </w:rPr>
              <w:t xml:space="preserve"> - the objective of which is to provide a regime that allows for and encourages effective integrated planning and efficient management of a system of transport infrastructure.</w:t>
            </w:r>
          </w:p>
        </w:tc>
      </w:tr>
      <w:tr w:rsidR="002A0767" w:rsidRPr="00456956" w14:paraId="6CCECEE3" w14:textId="77777777" w:rsidTr="00164B1A">
        <w:trPr>
          <w:cnfStyle w:val="000000100000" w:firstRow="0" w:lastRow="0" w:firstColumn="0" w:lastColumn="0" w:oddVBand="0" w:evenVBand="0" w:oddHBand="1" w:evenHBand="0" w:firstRowFirstColumn="0" w:firstRowLastColumn="0" w:lastRowFirstColumn="0" w:lastRowLastColumn="0"/>
          <w:trHeight w:val="300"/>
        </w:trPr>
        <w:tc>
          <w:tcPr>
            <w:tcW w:w="3544" w:type="dxa"/>
            <w:noWrap/>
          </w:tcPr>
          <w:p w14:paraId="36A96AF5" w14:textId="77777777" w:rsidR="002A0767" w:rsidRPr="00456956" w:rsidRDefault="002A0767" w:rsidP="00E53EB4">
            <w:pPr>
              <w:pStyle w:val="TableText"/>
              <w:spacing w:after="120" w:line="300" w:lineRule="atLeast"/>
              <w:rPr>
                <w:sz w:val="24"/>
                <w:szCs w:val="24"/>
              </w:rPr>
            </w:pPr>
            <w:r w:rsidRPr="00456956">
              <w:rPr>
                <w:sz w:val="24"/>
                <w:szCs w:val="24"/>
              </w:rPr>
              <w:t>TMR/Department</w:t>
            </w:r>
          </w:p>
        </w:tc>
        <w:tc>
          <w:tcPr>
            <w:tcW w:w="6095" w:type="dxa"/>
            <w:noWrap/>
          </w:tcPr>
          <w:p w14:paraId="1C79195D" w14:textId="77777777" w:rsidR="002A0767" w:rsidRPr="00456956" w:rsidRDefault="002A0767" w:rsidP="00E53EB4">
            <w:pPr>
              <w:pStyle w:val="TableText"/>
              <w:spacing w:after="120" w:line="300" w:lineRule="atLeast"/>
              <w:rPr>
                <w:rFonts w:cstheme="minorHAnsi"/>
                <w:i/>
                <w:sz w:val="24"/>
                <w:szCs w:val="24"/>
              </w:rPr>
            </w:pPr>
            <w:r w:rsidRPr="00456956">
              <w:rPr>
                <w:sz w:val="24"/>
                <w:szCs w:val="24"/>
              </w:rPr>
              <w:t>The Queensland Department of Transport and Main Roads, or any future department that may undertake the responsibilities of the sections of TIA mentioned in this document.</w:t>
            </w:r>
          </w:p>
        </w:tc>
      </w:tr>
      <w:tr w:rsidR="002A0767" w:rsidRPr="00456956" w14:paraId="5D6ACA25" w14:textId="77777777" w:rsidTr="00164B1A">
        <w:trPr>
          <w:trHeight w:val="300"/>
        </w:trPr>
        <w:tc>
          <w:tcPr>
            <w:tcW w:w="3544" w:type="dxa"/>
            <w:noWrap/>
          </w:tcPr>
          <w:p w14:paraId="54E3CCF4" w14:textId="77777777" w:rsidR="002A0767" w:rsidRPr="00456956" w:rsidRDefault="002A0767" w:rsidP="00E53EB4">
            <w:pPr>
              <w:pStyle w:val="TableText"/>
              <w:spacing w:after="120" w:line="300" w:lineRule="atLeast"/>
              <w:rPr>
                <w:sz w:val="24"/>
                <w:szCs w:val="24"/>
              </w:rPr>
            </w:pPr>
            <w:r>
              <w:rPr>
                <w:sz w:val="24"/>
                <w:szCs w:val="24"/>
              </w:rPr>
              <w:t>Network Services and Operations</w:t>
            </w:r>
          </w:p>
        </w:tc>
        <w:tc>
          <w:tcPr>
            <w:tcW w:w="6095" w:type="dxa"/>
            <w:noWrap/>
          </w:tcPr>
          <w:p w14:paraId="423A9B76" w14:textId="77777777" w:rsidR="002A0767" w:rsidRPr="00456956" w:rsidRDefault="002A0767" w:rsidP="00E53EB4">
            <w:pPr>
              <w:pStyle w:val="TableText"/>
              <w:spacing w:after="120" w:line="300" w:lineRule="atLeast"/>
              <w:rPr>
                <w:sz w:val="24"/>
                <w:szCs w:val="24"/>
              </w:rPr>
            </w:pPr>
            <w:r w:rsidRPr="00456956">
              <w:rPr>
                <w:sz w:val="24"/>
                <w:szCs w:val="24"/>
              </w:rPr>
              <w:t>A</w:t>
            </w:r>
            <w:r>
              <w:rPr>
                <w:sz w:val="24"/>
                <w:szCs w:val="24"/>
              </w:rPr>
              <w:t xml:space="preserve"> division </w:t>
            </w:r>
            <w:r w:rsidRPr="00456956">
              <w:rPr>
                <w:sz w:val="24"/>
                <w:szCs w:val="24"/>
              </w:rPr>
              <w:t>of TMR responsible for the coordination of public transport across the whole of Queensland.</w:t>
            </w:r>
          </w:p>
        </w:tc>
      </w:tr>
      <w:tr w:rsidR="002A0767" w:rsidRPr="00456956" w14:paraId="13032570" w14:textId="77777777" w:rsidTr="00164B1A">
        <w:trPr>
          <w:cnfStyle w:val="000000100000" w:firstRow="0" w:lastRow="0" w:firstColumn="0" w:lastColumn="0" w:oddVBand="0" w:evenVBand="0" w:oddHBand="1" w:evenHBand="0" w:firstRowFirstColumn="0" w:firstRowLastColumn="0" w:lastRowFirstColumn="0" w:lastRowLastColumn="0"/>
          <w:trHeight w:val="300"/>
        </w:trPr>
        <w:tc>
          <w:tcPr>
            <w:tcW w:w="3544" w:type="dxa"/>
            <w:noWrap/>
          </w:tcPr>
          <w:p w14:paraId="64D9C3D5" w14:textId="77777777" w:rsidR="002A0767" w:rsidRPr="00456956" w:rsidRDefault="002A0767" w:rsidP="00E53EB4">
            <w:pPr>
              <w:pStyle w:val="TableText"/>
              <w:spacing w:after="120" w:line="300" w:lineRule="atLeast"/>
              <w:rPr>
                <w:sz w:val="24"/>
                <w:szCs w:val="24"/>
              </w:rPr>
            </w:pPr>
            <w:r w:rsidRPr="00456956">
              <w:rPr>
                <w:sz w:val="24"/>
                <w:szCs w:val="24"/>
              </w:rPr>
              <w:t>Transport and Main Roads' Regions and Districts</w:t>
            </w:r>
          </w:p>
        </w:tc>
        <w:tc>
          <w:tcPr>
            <w:tcW w:w="6095" w:type="dxa"/>
            <w:noWrap/>
          </w:tcPr>
          <w:p w14:paraId="113AACC8" w14:textId="77777777" w:rsidR="002A0767" w:rsidRPr="00456956" w:rsidRDefault="002A0767" w:rsidP="00E53EB4">
            <w:pPr>
              <w:pStyle w:val="TableText"/>
              <w:spacing w:after="120" w:line="300" w:lineRule="atLeast"/>
              <w:rPr>
                <w:sz w:val="24"/>
                <w:szCs w:val="24"/>
              </w:rPr>
            </w:pPr>
            <w:r w:rsidRPr="00456956">
              <w:rPr>
                <w:sz w:val="24"/>
                <w:szCs w:val="24"/>
              </w:rPr>
              <w:t>Refer to TMRs’ website for information about Transport and Main Roads' Regions and Districts.</w:t>
            </w:r>
          </w:p>
        </w:tc>
      </w:tr>
    </w:tbl>
    <w:p w14:paraId="7ABFF6AD" w14:textId="77777777" w:rsidR="002A0767" w:rsidRPr="008113E9" w:rsidRDefault="002A0767" w:rsidP="00E53EB4">
      <w:pPr>
        <w:spacing w:after="120" w:line="300" w:lineRule="atLeast"/>
      </w:pPr>
    </w:p>
    <w:p w14:paraId="31674582" w14:textId="77777777" w:rsidR="002A0767" w:rsidRPr="009C4A07" w:rsidRDefault="002A0767" w:rsidP="00E53EB4">
      <w:pPr>
        <w:spacing w:after="120" w:line="300" w:lineRule="atLeast"/>
      </w:pPr>
    </w:p>
    <w:p w14:paraId="278B0EFB" w14:textId="77777777" w:rsidR="008113E9" w:rsidRPr="008113E9" w:rsidRDefault="008113E9" w:rsidP="00E53EB4">
      <w:pPr>
        <w:spacing w:after="120" w:line="300" w:lineRule="atLeast"/>
      </w:pPr>
    </w:p>
    <w:sectPr w:rsidR="008113E9" w:rsidRPr="008113E9" w:rsidSect="008113E9">
      <w:pgSz w:w="11906" w:h="16838" w:code="9"/>
      <w:pgMar w:top="1135" w:right="1418" w:bottom="184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91F7" w14:textId="77777777" w:rsidR="00D67D0C" w:rsidRDefault="00D67D0C" w:rsidP="00A9280E">
      <w:pPr>
        <w:spacing w:line="240" w:lineRule="auto"/>
      </w:pPr>
      <w:r>
        <w:separator/>
      </w:r>
    </w:p>
  </w:endnote>
  <w:endnote w:type="continuationSeparator" w:id="0">
    <w:p w14:paraId="09DB047A" w14:textId="77777777" w:rsidR="00D67D0C" w:rsidRDefault="00D67D0C" w:rsidP="00A9280E">
      <w:pPr>
        <w:spacing w:line="240" w:lineRule="auto"/>
      </w:pPr>
      <w:r>
        <w:continuationSeparator/>
      </w:r>
    </w:p>
  </w:endnote>
  <w:endnote w:type="continuationNotice" w:id="1">
    <w:p w14:paraId="7922DC15" w14:textId="77777777" w:rsidR="00D67D0C" w:rsidRDefault="00D67D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F2E7" w14:textId="04902AC8" w:rsidR="00B94111" w:rsidRPr="000126D6" w:rsidRDefault="00F14608" w:rsidP="000126D6">
    <w:pPr>
      <w:pStyle w:val="Footer"/>
    </w:pPr>
    <w:r>
      <w:rPr>
        <w:rStyle w:val="Header2Char"/>
      </w:rPr>
      <w:t>TMR Naming of Infrastructure Policy 2026</w:t>
    </w:r>
    <w:r w:rsidR="000126D6" w:rsidRPr="000126D6">
      <w:rPr>
        <w:noProof/>
      </w:rPr>
      <mc:AlternateContent>
        <mc:Choice Requires="wps">
          <w:drawing>
            <wp:anchor distT="0" distB="0" distL="114300" distR="114300" simplePos="0" relativeHeight="251658240" behindDoc="0" locked="0" layoutInCell="1" allowOverlap="1" wp14:anchorId="33502C3C" wp14:editId="25BDCC98">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10CE4" id="Straight Connector 6"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797D" w14:textId="0F9097AC" w:rsidR="008113E9" w:rsidRPr="008113E9" w:rsidRDefault="008113E9" w:rsidP="008113E9">
    <w:pPr>
      <w:pStyle w:val="Footer"/>
    </w:pPr>
    <w:r w:rsidRPr="000126D6">
      <w:rPr>
        <w:noProof/>
      </w:rPr>
      <mc:AlternateContent>
        <mc:Choice Requires="wps">
          <w:drawing>
            <wp:anchor distT="0" distB="0" distL="114300" distR="114300" simplePos="0" relativeHeight="251658242" behindDoc="0" locked="0" layoutInCell="1" allowOverlap="1" wp14:anchorId="3D8D42CD" wp14:editId="6F4876F4">
              <wp:simplePos x="0" y="0"/>
              <wp:positionH relativeFrom="column">
                <wp:posOffset>635</wp:posOffset>
              </wp:positionH>
              <wp:positionV relativeFrom="paragraph">
                <wp:posOffset>-86534</wp:posOffset>
              </wp:positionV>
              <wp:extent cx="5756564" cy="0"/>
              <wp:effectExtent l="0" t="0" r="0" b="0"/>
              <wp:wrapNone/>
              <wp:docPr id="1087462810" name="Straight Connector 10874628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84DA8" id="Straight Connector 10874628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994FF7">
      <w:rPr>
        <w:rStyle w:val="Header2Char"/>
      </w:rPr>
      <w:t>TMR Naming of Infrastructure Policy 2026</w:t>
    </w:r>
    <w:r>
      <w:ptab w:relativeTo="margin" w:alignment="right" w:leader="none"/>
    </w:r>
    <w:r>
      <w:fldChar w:fldCharType="begin"/>
    </w:r>
    <w:r>
      <w:instrText xml:space="preserve"> PAGE  \* Arabic  \* MERGEFORMAT </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6241" w14:textId="77777777" w:rsidR="00D67D0C" w:rsidRDefault="00D67D0C" w:rsidP="00A9280E">
      <w:pPr>
        <w:spacing w:line="240" w:lineRule="auto"/>
      </w:pPr>
      <w:r>
        <w:separator/>
      </w:r>
    </w:p>
  </w:footnote>
  <w:footnote w:type="continuationSeparator" w:id="0">
    <w:p w14:paraId="007675D7" w14:textId="77777777" w:rsidR="00D67D0C" w:rsidRDefault="00D67D0C" w:rsidP="00A9280E">
      <w:pPr>
        <w:spacing w:line="240" w:lineRule="auto"/>
      </w:pPr>
      <w:r>
        <w:continuationSeparator/>
      </w:r>
    </w:p>
  </w:footnote>
  <w:footnote w:type="continuationNotice" w:id="1">
    <w:p w14:paraId="41E75FBC" w14:textId="77777777" w:rsidR="00D67D0C" w:rsidRDefault="00D67D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295E" w14:textId="73513E2B" w:rsidR="00A35033" w:rsidRDefault="00A35033">
    <w:pPr>
      <w:pStyle w:val="Header"/>
    </w:pPr>
    <w:r>
      <w:rPr>
        <w:noProof/>
      </w:rPr>
      <w:drawing>
        <wp:anchor distT="0" distB="0" distL="114300" distR="114300" simplePos="0" relativeHeight="251658241" behindDoc="1" locked="1" layoutInCell="1" allowOverlap="1" wp14:anchorId="7D5EB20A" wp14:editId="34E12D22">
          <wp:simplePos x="0" y="0"/>
          <wp:positionH relativeFrom="margin">
            <wp:posOffset>-900430</wp:posOffset>
          </wp:positionH>
          <wp:positionV relativeFrom="margin">
            <wp:posOffset>-7649210</wp:posOffset>
          </wp:positionV>
          <wp:extent cx="7555230" cy="10682605"/>
          <wp:effectExtent l="0" t="0" r="7620" b="0"/>
          <wp:wrapNone/>
          <wp:docPr id="1527702721" name="Picture 1527702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62795" name="Picture 20584627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26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57B" w14:textId="0ECAE625" w:rsidR="008113E9" w:rsidRDefault="00811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ABF9" w14:textId="68BFA4DB" w:rsidR="008113E9" w:rsidRDefault="00811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542"/>
    <w:multiLevelType w:val="hybridMultilevel"/>
    <w:tmpl w:val="4CC6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A422F"/>
    <w:multiLevelType w:val="hybridMultilevel"/>
    <w:tmpl w:val="87E0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83802"/>
    <w:multiLevelType w:val="hybridMultilevel"/>
    <w:tmpl w:val="E8CEE06E"/>
    <w:lvl w:ilvl="0" w:tplc="7F102CEA">
      <w:start w:val="1"/>
      <w:numFmt w:val="bullet"/>
      <w:lvlText w:val=""/>
      <w:lvlJc w:val="left"/>
      <w:pPr>
        <w:ind w:left="1020" w:hanging="360"/>
      </w:pPr>
      <w:rPr>
        <w:rFonts w:ascii="Symbol" w:hAnsi="Symbol"/>
      </w:rPr>
    </w:lvl>
    <w:lvl w:ilvl="1" w:tplc="93CEDE64">
      <w:start w:val="1"/>
      <w:numFmt w:val="bullet"/>
      <w:lvlText w:val=""/>
      <w:lvlJc w:val="left"/>
      <w:pPr>
        <w:ind w:left="1020" w:hanging="360"/>
      </w:pPr>
      <w:rPr>
        <w:rFonts w:ascii="Symbol" w:hAnsi="Symbol"/>
      </w:rPr>
    </w:lvl>
    <w:lvl w:ilvl="2" w:tplc="5C2ECC50">
      <w:start w:val="1"/>
      <w:numFmt w:val="bullet"/>
      <w:lvlText w:val=""/>
      <w:lvlJc w:val="left"/>
      <w:pPr>
        <w:ind w:left="1020" w:hanging="360"/>
      </w:pPr>
      <w:rPr>
        <w:rFonts w:ascii="Symbol" w:hAnsi="Symbol"/>
      </w:rPr>
    </w:lvl>
    <w:lvl w:ilvl="3" w:tplc="D4985A12">
      <w:start w:val="1"/>
      <w:numFmt w:val="bullet"/>
      <w:lvlText w:val=""/>
      <w:lvlJc w:val="left"/>
      <w:pPr>
        <w:ind w:left="1020" w:hanging="360"/>
      </w:pPr>
      <w:rPr>
        <w:rFonts w:ascii="Symbol" w:hAnsi="Symbol"/>
      </w:rPr>
    </w:lvl>
    <w:lvl w:ilvl="4" w:tplc="E4D8D2F4">
      <w:start w:val="1"/>
      <w:numFmt w:val="bullet"/>
      <w:lvlText w:val=""/>
      <w:lvlJc w:val="left"/>
      <w:pPr>
        <w:ind w:left="1020" w:hanging="360"/>
      </w:pPr>
      <w:rPr>
        <w:rFonts w:ascii="Symbol" w:hAnsi="Symbol"/>
      </w:rPr>
    </w:lvl>
    <w:lvl w:ilvl="5" w:tplc="6472073A">
      <w:start w:val="1"/>
      <w:numFmt w:val="bullet"/>
      <w:lvlText w:val=""/>
      <w:lvlJc w:val="left"/>
      <w:pPr>
        <w:ind w:left="1020" w:hanging="360"/>
      </w:pPr>
      <w:rPr>
        <w:rFonts w:ascii="Symbol" w:hAnsi="Symbol"/>
      </w:rPr>
    </w:lvl>
    <w:lvl w:ilvl="6" w:tplc="BC464AF2">
      <w:start w:val="1"/>
      <w:numFmt w:val="bullet"/>
      <w:lvlText w:val=""/>
      <w:lvlJc w:val="left"/>
      <w:pPr>
        <w:ind w:left="1020" w:hanging="360"/>
      </w:pPr>
      <w:rPr>
        <w:rFonts w:ascii="Symbol" w:hAnsi="Symbol"/>
      </w:rPr>
    </w:lvl>
    <w:lvl w:ilvl="7" w:tplc="8A1A83FE">
      <w:start w:val="1"/>
      <w:numFmt w:val="bullet"/>
      <w:lvlText w:val=""/>
      <w:lvlJc w:val="left"/>
      <w:pPr>
        <w:ind w:left="1020" w:hanging="360"/>
      </w:pPr>
      <w:rPr>
        <w:rFonts w:ascii="Symbol" w:hAnsi="Symbol"/>
      </w:rPr>
    </w:lvl>
    <w:lvl w:ilvl="8" w:tplc="210412DC">
      <w:start w:val="1"/>
      <w:numFmt w:val="bullet"/>
      <w:lvlText w:val=""/>
      <w:lvlJc w:val="left"/>
      <w:pPr>
        <w:ind w:left="1020" w:hanging="360"/>
      </w:pPr>
      <w:rPr>
        <w:rFonts w:ascii="Symbol" w:hAnsi="Symbol"/>
      </w:rPr>
    </w:lvl>
  </w:abstractNum>
  <w:abstractNum w:abstractNumId="3" w15:restartNumberingAfterBreak="0">
    <w:nsid w:val="291D08C9"/>
    <w:multiLevelType w:val="hybridMultilevel"/>
    <w:tmpl w:val="F0661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7251FE"/>
    <w:multiLevelType w:val="multilevel"/>
    <w:tmpl w:val="EFEE10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6D6ED3"/>
    <w:multiLevelType w:val="hybridMultilevel"/>
    <w:tmpl w:val="38FEEF42"/>
    <w:lvl w:ilvl="0" w:tplc="0F6043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B2175E"/>
    <w:multiLevelType w:val="hybridMultilevel"/>
    <w:tmpl w:val="5E9A9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657144"/>
    <w:multiLevelType w:val="hybridMultilevel"/>
    <w:tmpl w:val="241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0527C6"/>
    <w:multiLevelType w:val="hybridMultilevel"/>
    <w:tmpl w:val="349E0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C5FC4"/>
    <w:multiLevelType w:val="hybridMultilevel"/>
    <w:tmpl w:val="6AE66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2" w15:restartNumberingAfterBreak="0">
    <w:nsid w:val="66EA7F18"/>
    <w:multiLevelType w:val="hybridMultilevel"/>
    <w:tmpl w:val="026A1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14" w15:restartNumberingAfterBreak="0">
    <w:nsid w:val="730565EF"/>
    <w:multiLevelType w:val="hybridMultilevel"/>
    <w:tmpl w:val="8946E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0308E5"/>
    <w:multiLevelType w:val="hybridMultilevel"/>
    <w:tmpl w:val="D4F8D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076D3D"/>
    <w:multiLevelType w:val="hybridMultilevel"/>
    <w:tmpl w:val="00226698"/>
    <w:lvl w:ilvl="0" w:tplc="5740CE50">
      <w:start w:val="1"/>
      <w:numFmt w:val="bullet"/>
      <w:lvlText w:val=""/>
      <w:lvlJc w:val="left"/>
      <w:pPr>
        <w:ind w:left="1440" w:hanging="360"/>
      </w:pPr>
      <w:rPr>
        <w:rFonts w:ascii="Symbol" w:hAnsi="Symbol"/>
      </w:rPr>
    </w:lvl>
    <w:lvl w:ilvl="1" w:tplc="932A4B98">
      <w:start w:val="1"/>
      <w:numFmt w:val="bullet"/>
      <w:lvlText w:val=""/>
      <w:lvlJc w:val="left"/>
      <w:pPr>
        <w:ind w:left="1440" w:hanging="360"/>
      </w:pPr>
      <w:rPr>
        <w:rFonts w:ascii="Symbol" w:hAnsi="Symbol"/>
      </w:rPr>
    </w:lvl>
    <w:lvl w:ilvl="2" w:tplc="77B61212">
      <w:start w:val="1"/>
      <w:numFmt w:val="bullet"/>
      <w:lvlText w:val=""/>
      <w:lvlJc w:val="left"/>
      <w:pPr>
        <w:ind w:left="1440" w:hanging="360"/>
      </w:pPr>
      <w:rPr>
        <w:rFonts w:ascii="Symbol" w:hAnsi="Symbol"/>
      </w:rPr>
    </w:lvl>
    <w:lvl w:ilvl="3" w:tplc="A6A0D224">
      <w:start w:val="1"/>
      <w:numFmt w:val="bullet"/>
      <w:lvlText w:val=""/>
      <w:lvlJc w:val="left"/>
      <w:pPr>
        <w:ind w:left="1440" w:hanging="360"/>
      </w:pPr>
      <w:rPr>
        <w:rFonts w:ascii="Symbol" w:hAnsi="Symbol"/>
      </w:rPr>
    </w:lvl>
    <w:lvl w:ilvl="4" w:tplc="24A63F12">
      <w:start w:val="1"/>
      <w:numFmt w:val="bullet"/>
      <w:lvlText w:val=""/>
      <w:lvlJc w:val="left"/>
      <w:pPr>
        <w:ind w:left="1440" w:hanging="360"/>
      </w:pPr>
      <w:rPr>
        <w:rFonts w:ascii="Symbol" w:hAnsi="Symbol"/>
      </w:rPr>
    </w:lvl>
    <w:lvl w:ilvl="5" w:tplc="0804F0DC">
      <w:start w:val="1"/>
      <w:numFmt w:val="bullet"/>
      <w:lvlText w:val=""/>
      <w:lvlJc w:val="left"/>
      <w:pPr>
        <w:ind w:left="1440" w:hanging="360"/>
      </w:pPr>
      <w:rPr>
        <w:rFonts w:ascii="Symbol" w:hAnsi="Symbol"/>
      </w:rPr>
    </w:lvl>
    <w:lvl w:ilvl="6" w:tplc="BA9C6A52">
      <w:start w:val="1"/>
      <w:numFmt w:val="bullet"/>
      <w:lvlText w:val=""/>
      <w:lvlJc w:val="left"/>
      <w:pPr>
        <w:ind w:left="1440" w:hanging="360"/>
      </w:pPr>
      <w:rPr>
        <w:rFonts w:ascii="Symbol" w:hAnsi="Symbol"/>
      </w:rPr>
    </w:lvl>
    <w:lvl w:ilvl="7" w:tplc="27BE0CCE">
      <w:start w:val="1"/>
      <w:numFmt w:val="bullet"/>
      <w:lvlText w:val=""/>
      <w:lvlJc w:val="left"/>
      <w:pPr>
        <w:ind w:left="1440" w:hanging="360"/>
      </w:pPr>
      <w:rPr>
        <w:rFonts w:ascii="Symbol" w:hAnsi="Symbol"/>
      </w:rPr>
    </w:lvl>
    <w:lvl w:ilvl="8" w:tplc="A2D65836">
      <w:start w:val="1"/>
      <w:numFmt w:val="bullet"/>
      <w:lvlText w:val=""/>
      <w:lvlJc w:val="left"/>
      <w:pPr>
        <w:ind w:left="1440" w:hanging="360"/>
      </w:pPr>
      <w:rPr>
        <w:rFonts w:ascii="Symbol" w:hAnsi="Symbol"/>
      </w:rPr>
    </w:lvl>
  </w:abstractNum>
  <w:abstractNum w:abstractNumId="17"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8"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11"/>
  </w:num>
  <w:num w:numId="2" w16cid:durableId="1764453121">
    <w:abstractNumId w:val="18"/>
  </w:num>
  <w:num w:numId="3" w16cid:durableId="1647666585">
    <w:abstractNumId w:val="13"/>
  </w:num>
  <w:num w:numId="4" w16cid:durableId="1921984302">
    <w:abstractNumId w:val="6"/>
  </w:num>
  <w:num w:numId="5" w16cid:durableId="2061977930">
    <w:abstractNumId w:val="12"/>
  </w:num>
  <w:num w:numId="6" w16cid:durableId="1483889375">
    <w:abstractNumId w:val="15"/>
  </w:num>
  <w:num w:numId="7" w16cid:durableId="437608454">
    <w:abstractNumId w:val="5"/>
  </w:num>
  <w:num w:numId="8" w16cid:durableId="724763025">
    <w:abstractNumId w:val="14"/>
  </w:num>
  <w:num w:numId="9" w16cid:durableId="1950433758">
    <w:abstractNumId w:val="3"/>
  </w:num>
  <w:num w:numId="10" w16cid:durableId="265507211">
    <w:abstractNumId w:val="0"/>
  </w:num>
  <w:num w:numId="11" w16cid:durableId="1208106439">
    <w:abstractNumId w:val="7"/>
  </w:num>
  <w:num w:numId="12" w16cid:durableId="2045130593">
    <w:abstractNumId w:val="9"/>
  </w:num>
  <w:num w:numId="13" w16cid:durableId="325207617">
    <w:abstractNumId w:val="10"/>
  </w:num>
  <w:num w:numId="14" w16cid:durableId="1407221234">
    <w:abstractNumId w:val="1"/>
  </w:num>
  <w:num w:numId="15" w16cid:durableId="1120690103">
    <w:abstractNumId w:val="16"/>
  </w:num>
  <w:num w:numId="16" w16cid:durableId="1938708362">
    <w:abstractNumId w:val="2"/>
  </w:num>
  <w:num w:numId="17" w16cid:durableId="2035030655">
    <w:abstractNumId w:val="4"/>
  </w:num>
  <w:num w:numId="18" w16cid:durableId="1900358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96130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formatting="1" w:enforcement="1" w:cryptProviderType="rsaAES" w:cryptAlgorithmClass="hash" w:cryptAlgorithmType="typeAny" w:cryptAlgorithmSid="14" w:cryptSpinCount="100000" w:hash="sA4ke8Ts8J/W8aL+Fj8gqGiONuuln16KrMcpBzYBh3IaSlZzowI9xYsHD0jidGAfKKJ4D3PL7mYbeukLjEUDog==" w:salt="MAQ9Qzt+ZDisdhVNBxiTJ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76"/>
    <w:rsid w:val="0000118E"/>
    <w:rsid w:val="00005A53"/>
    <w:rsid w:val="0000629D"/>
    <w:rsid w:val="000126D6"/>
    <w:rsid w:val="00012CAD"/>
    <w:rsid w:val="000132D5"/>
    <w:rsid w:val="0001356D"/>
    <w:rsid w:val="00014811"/>
    <w:rsid w:val="000223C5"/>
    <w:rsid w:val="00024C73"/>
    <w:rsid w:val="00033E4D"/>
    <w:rsid w:val="000350BD"/>
    <w:rsid w:val="000350FF"/>
    <w:rsid w:val="00037579"/>
    <w:rsid w:val="00040C14"/>
    <w:rsid w:val="00040D81"/>
    <w:rsid w:val="000623DB"/>
    <w:rsid w:val="00063EC5"/>
    <w:rsid w:val="00066D19"/>
    <w:rsid w:val="00067CCE"/>
    <w:rsid w:val="00073B95"/>
    <w:rsid w:val="00077771"/>
    <w:rsid w:val="000852B6"/>
    <w:rsid w:val="000919D4"/>
    <w:rsid w:val="00095E9F"/>
    <w:rsid w:val="00097328"/>
    <w:rsid w:val="000A21FE"/>
    <w:rsid w:val="000A66C3"/>
    <w:rsid w:val="000A79E3"/>
    <w:rsid w:val="000B49EC"/>
    <w:rsid w:val="000B62D3"/>
    <w:rsid w:val="000B6C84"/>
    <w:rsid w:val="000C4ABA"/>
    <w:rsid w:val="000D21C3"/>
    <w:rsid w:val="000E1CFC"/>
    <w:rsid w:val="000E4C9A"/>
    <w:rsid w:val="000F67C4"/>
    <w:rsid w:val="000F7872"/>
    <w:rsid w:val="00101A73"/>
    <w:rsid w:val="00112F9F"/>
    <w:rsid w:val="001136A1"/>
    <w:rsid w:val="00114997"/>
    <w:rsid w:val="001202AF"/>
    <w:rsid w:val="0012230B"/>
    <w:rsid w:val="00123108"/>
    <w:rsid w:val="00125FC4"/>
    <w:rsid w:val="001372B7"/>
    <w:rsid w:val="00140CB2"/>
    <w:rsid w:val="00154844"/>
    <w:rsid w:val="00154AB7"/>
    <w:rsid w:val="00154C8C"/>
    <w:rsid w:val="00161539"/>
    <w:rsid w:val="00164B1A"/>
    <w:rsid w:val="001652D7"/>
    <w:rsid w:val="001669E5"/>
    <w:rsid w:val="00171882"/>
    <w:rsid w:val="00172F20"/>
    <w:rsid w:val="0018099F"/>
    <w:rsid w:val="00181F04"/>
    <w:rsid w:val="0018390F"/>
    <w:rsid w:val="0018783A"/>
    <w:rsid w:val="00190D28"/>
    <w:rsid w:val="001A166E"/>
    <w:rsid w:val="001A2164"/>
    <w:rsid w:val="001A3FDE"/>
    <w:rsid w:val="001A4C6D"/>
    <w:rsid w:val="001B0F94"/>
    <w:rsid w:val="001B7C9B"/>
    <w:rsid w:val="001B7F9F"/>
    <w:rsid w:val="001C1A5F"/>
    <w:rsid w:val="001C7DD7"/>
    <w:rsid w:val="001D17A2"/>
    <w:rsid w:val="001D20FF"/>
    <w:rsid w:val="001D25F5"/>
    <w:rsid w:val="001D61FB"/>
    <w:rsid w:val="001E3382"/>
    <w:rsid w:val="001E3F0A"/>
    <w:rsid w:val="001E71C2"/>
    <w:rsid w:val="001F3E6A"/>
    <w:rsid w:val="001F3F89"/>
    <w:rsid w:val="00204A19"/>
    <w:rsid w:val="0020502A"/>
    <w:rsid w:val="00205DE7"/>
    <w:rsid w:val="002136A1"/>
    <w:rsid w:val="002149DD"/>
    <w:rsid w:val="00216C9B"/>
    <w:rsid w:val="002203EC"/>
    <w:rsid w:val="0022602E"/>
    <w:rsid w:val="00231EAB"/>
    <w:rsid w:val="00233843"/>
    <w:rsid w:val="00242092"/>
    <w:rsid w:val="002449EC"/>
    <w:rsid w:val="00251412"/>
    <w:rsid w:val="00251AA3"/>
    <w:rsid w:val="002524A7"/>
    <w:rsid w:val="0026109B"/>
    <w:rsid w:val="00267FDF"/>
    <w:rsid w:val="00271478"/>
    <w:rsid w:val="0027299F"/>
    <w:rsid w:val="00275FD4"/>
    <w:rsid w:val="00281FEA"/>
    <w:rsid w:val="002909B5"/>
    <w:rsid w:val="00293985"/>
    <w:rsid w:val="002A0767"/>
    <w:rsid w:val="002A2709"/>
    <w:rsid w:val="002A7912"/>
    <w:rsid w:val="002B1BC4"/>
    <w:rsid w:val="002B3002"/>
    <w:rsid w:val="002B7EC4"/>
    <w:rsid w:val="002C3F18"/>
    <w:rsid w:val="002D0D86"/>
    <w:rsid w:val="002D106F"/>
    <w:rsid w:val="002D34A2"/>
    <w:rsid w:val="002D489B"/>
    <w:rsid w:val="002D7D2F"/>
    <w:rsid w:val="002F2965"/>
    <w:rsid w:val="002F2FF2"/>
    <w:rsid w:val="003054BF"/>
    <w:rsid w:val="003126A2"/>
    <w:rsid w:val="00317CFD"/>
    <w:rsid w:val="00321BB9"/>
    <w:rsid w:val="003226EF"/>
    <w:rsid w:val="00330284"/>
    <w:rsid w:val="00331B78"/>
    <w:rsid w:val="00333842"/>
    <w:rsid w:val="003348E0"/>
    <w:rsid w:val="0034090D"/>
    <w:rsid w:val="00340EDF"/>
    <w:rsid w:val="0034442A"/>
    <w:rsid w:val="0034498B"/>
    <w:rsid w:val="00347462"/>
    <w:rsid w:val="003533A6"/>
    <w:rsid w:val="0036183C"/>
    <w:rsid w:val="003703DD"/>
    <w:rsid w:val="00373CA4"/>
    <w:rsid w:val="00375B62"/>
    <w:rsid w:val="00375E49"/>
    <w:rsid w:val="00394461"/>
    <w:rsid w:val="003A10D7"/>
    <w:rsid w:val="003A70E2"/>
    <w:rsid w:val="003B4322"/>
    <w:rsid w:val="003B4C3A"/>
    <w:rsid w:val="003B6A0C"/>
    <w:rsid w:val="003C0CB3"/>
    <w:rsid w:val="003C73AE"/>
    <w:rsid w:val="003C7F25"/>
    <w:rsid w:val="003D1092"/>
    <w:rsid w:val="003D17A2"/>
    <w:rsid w:val="003D3DDE"/>
    <w:rsid w:val="003D5A11"/>
    <w:rsid w:val="003E0083"/>
    <w:rsid w:val="003E443B"/>
    <w:rsid w:val="003F021E"/>
    <w:rsid w:val="003F0552"/>
    <w:rsid w:val="003F0E26"/>
    <w:rsid w:val="00400F38"/>
    <w:rsid w:val="0040718D"/>
    <w:rsid w:val="0040723A"/>
    <w:rsid w:val="004136A8"/>
    <w:rsid w:val="0042018F"/>
    <w:rsid w:val="004207B9"/>
    <w:rsid w:val="00426167"/>
    <w:rsid w:val="00435625"/>
    <w:rsid w:val="00441641"/>
    <w:rsid w:val="00444D2D"/>
    <w:rsid w:val="004454C0"/>
    <w:rsid w:val="00445A51"/>
    <w:rsid w:val="004473C8"/>
    <w:rsid w:val="00454668"/>
    <w:rsid w:val="004735EC"/>
    <w:rsid w:val="00482035"/>
    <w:rsid w:val="00485A2E"/>
    <w:rsid w:val="00486E3B"/>
    <w:rsid w:val="00490511"/>
    <w:rsid w:val="00492B82"/>
    <w:rsid w:val="00492FF4"/>
    <w:rsid w:val="004A45AF"/>
    <w:rsid w:val="004B1945"/>
    <w:rsid w:val="004B5948"/>
    <w:rsid w:val="004C0DE4"/>
    <w:rsid w:val="004C1294"/>
    <w:rsid w:val="004C4FB4"/>
    <w:rsid w:val="004C6858"/>
    <w:rsid w:val="004C6FAE"/>
    <w:rsid w:val="004D56A9"/>
    <w:rsid w:val="004E196C"/>
    <w:rsid w:val="004F05B0"/>
    <w:rsid w:val="004F108A"/>
    <w:rsid w:val="004F249D"/>
    <w:rsid w:val="00503AD7"/>
    <w:rsid w:val="00505297"/>
    <w:rsid w:val="005075D9"/>
    <w:rsid w:val="00511F74"/>
    <w:rsid w:val="00515EAE"/>
    <w:rsid w:val="005241D3"/>
    <w:rsid w:val="00526994"/>
    <w:rsid w:val="00531D1D"/>
    <w:rsid w:val="005356D0"/>
    <w:rsid w:val="00545452"/>
    <w:rsid w:val="00546311"/>
    <w:rsid w:val="00547D7D"/>
    <w:rsid w:val="005524CC"/>
    <w:rsid w:val="00554223"/>
    <w:rsid w:val="00560347"/>
    <w:rsid w:val="00567279"/>
    <w:rsid w:val="00572ECD"/>
    <w:rsid w:val="0057674D"/>
    <w:rsid w:val="0057777A"/>
    <w:rsid w:val="0058493D"/>
    <w:rsid w:val="00596985"/>
    <w:rsid w:val="005B366A"/>
    <w:rsid w:val="005B4843"/>
    <w:rsid w:val="005B5D84"/>
    <w:rsid w:val="005B5DD8"/>
    <w:rsid w:val="005C435D"/>
    <w:rsid w:val="005D02D4"/>
    <w:rsid w:val="005E0F3D"/>
    <w:rsid w:val="005E6822"/>
    <w:rsid w:val="005F07A0"/>
    <w:rsid w:val="005F1B10"/>
    <w:rsid w:val="005F266E"/>
    <w:rsid w:val="005F5876"/>
    <w:rsid w:val="00601688"/>
    <w:rsid w:val="00605396"/>
    <w:rsid w:val="00606E14"/>
    <w:rsid w:val="0060779C"/>
    <w:rsid w:val="0061562E"/>
    <w:rsid w:val="00615B9F"/>
    <w:rsid w:val="0062426A"/>
    <w:rsid w:val="00642A9C"/>
    <w:rsid w:val="00643425"/>
    <w:rsid w:val="00646A31"/>
    <w:rsid w:val="00650A5D"/>
    <w:rsid w:val="00656759"/>
    <w:rsid w:val="0067263C"/>
    <w:rsid w:val="0067596A"/>
    <w:rsid w:val="00681526"/>
    <w:rsid w:val="0068573B"/>
    <w:rsid w:val="006876C3"/>
    <w:rsid w:val="006902D2"/>
    <w:rsid w:val="00691B1C"/>
    <w:rsid w:val="00692EE8"/>
    <w:rsid w:val="00694875"/>
    <w:rsid w:val="00696863"/>
    <w:rsid w:val="006A257D"/>
    <w:rsid w:val="006C22F7"/>
    <w:rsid w:val="006C3A27"/>
    <w:rsid w:val="006C4743"/>
    <w:rsid w:val="006C7B28"/>
    <w:rsid w:val="006D3C5E"/>
    <w:rsid w:val="006E4323"/>
    <w:rsid w:val="006F44A2"/>
    <w:rsid w:val="006F5E00"/>
    <w:rsid w:val="006F7B3D"/>
    <w:rsid w:val="00711C05"/>
    <w:rsid w:val="00715DBD"/>
    <w:rsid w:val="007202DB"/>
    <w:rsid w:val="00723604"/>
    <w:rsid w:val="00737BE9"/>
    <w:rsid w:val="00737DCA"/>
    <w:rsid w:val="0074595D"/>
    <w:rsid w:val="00747BA3"/>
    <w:rsid w:val="007527BB"/>
    <w:rsid w:val="00755DFC"/>
    <w:rsid w:val="0076513F"/>
    <w:rsid w:val="0077149F"/>
    <w:rsid w:val="007777F6"/>
    <w:rsid w:val="00781C86"/>
    <w:rsid w:val="00786586"/>
    <w:rsid w:val="00793E09"/>
    <w:rsid w:val="00794876"/>
    <w:rsid w:val="00794CEF"/>
    <w:rsid w:val="00796BE7"/>
    <w:rsid w:val="007A4651"/>
    <w:rsid w:val="007A6019"/>
    <w:rsid w:val="007A6B20"/>
    <w:rsid w:val="007B1D1E"/>
    <w:rsid w:val="007B55B4"/>
    <w:rsid w:val="007B5787"/>
    <w:rsid w:val="007C399A"/>
    <w:rsid w:val="007D2CEF"/>
    <w:rsid w:val="007D52E2"/>
    <w:rsid w:val="007E0137"/>
    <w:rsid w:val="007E0CD4"/>
    <w:rsid w:val="007E45D3"/>
    <w:rsid w:val="007E5D9B"/>
    <w:rsid w:val="007E6613"/>
    <w:rsid w:val="007F00CE"/>
    <w:rsid w:val="007F10A6"/>
    <w:rsid w:val="007F57BD"/>
    <w:rsid w:val="007F63B5"/>
    <w:rsid w:val="007F7402"/>
    <w:rsid w:val="00801965"/>
    <w:rsid w:val="00801BCA"/>
    <w:rsid w:val="00805455"/>
    <w:rsid w:val="00805CF7"/>
    <w:rsid w:val="008113E9"/>
    <w:rsid w:val="00812BEF"/>
    <w:rsid w:val="00817400"/>
    <w:rsid w:val="00822134"/>
    <w:rsid w:val="00827D3D"/>
    <w:rsid w:val="00831C1E"/>
    <w:rsid w:val="00831DDA"/>
    <w:rsid w:val="00832597"/>
    <w:rsid w:val="00832E05"/>
    <w:rsid w:val="00835CE2"/>
    <w:rsid w:val="0084011A"/>
    <w:rsid w:val="0084404D"/>
    <w:rsid w:val="0084742E"/>
    <w:rsid w:val="008506FD"/>
    <w:rsid w:val="00850F61"/>
    <w:rsid w:val="00856B75"/>
    <w:rsid w:val="00873D82"/>
    <w:rsid w:val="00886B2C"/>
    <w:rsid w:val="0088793C"/>
    <w:rsid w:val="008938DB"/>
    <w:rsid w:val="008A05EE"/>
    <w:rsid w:val="008A5B63"/>
    <w:rsid w:val="008A7368"/>
    <w:rsid w:val="008B0B26"/>
    <w:rsid w:val="008B3A25"/>
    <w:rsid w:val="008C0F00"/>
    <w:rsid w:val="008D375B"/>
    <w:rsid w:val="008D4272"/>
    <w:rsid w:val="008D45CD"/>
    <w:rsid w:val="008D74DE"/>
    <w:rsid w:val="008D7703"/>
    <w:rsid w:val="008E08B2"/>
    <w:rsid w:val="008E2390"/>
    <w:rsid w:val="008E7552"/>
    <w:rsid w:val="008F1000"/>
    <w:rsid w:val="008F15FD"/>
    <w:rsid w:val="008F2C8A"/>
    <w:rsid w:val="008F4796"/>
    <w:rsid w:val="008F6145"/>
    <w:rsid w:val="008F79AE"/>
    <w:rsid w:val="0090036B"/>
    <w:rsid w:val="00900DEE"/>
    <w:rsid w:val="00904068"/>
    <w:rsid w:val="00904C92"/>
    <w:rsid w:val="00910872"/>
    <w:rsid w:val="00912690"/>
    <w:rsid w:val="009204CE"/>
    <w:rsid w:val="00923EA4"/>
    <w:rsid w:val="00924579"/>
    <w:rsid w:val="00924B5C"/>
    <w:rsid w:val="00936D2C"/>
    <w:rsid w:val="00940044"/>
    <w:rsid w:val="0094184C"/>
    <w:rsid w:val="00945852"/>
    <w:rsid w:val="00947179"/>
    <w:rsid w:val="00954EB3"/>
    <w:rsid w:val="00955CFE"/>
    <w:rsid w:val="0096042E"/>
    <w:rsid w:val="009620EF"/>
    <w:rsid w:val="009653A6"/>
    <w:rsid w:val="00966CEB"/>
    <w:rsid w:val="00975876"/>
    <w:rsid w:val="009770F1"/>
    <w:rsid w:val="00981F3A"/>
    <w:rsid w:val="00984039"/>
    <w:rsid w:val="009848BD"/>
    <w:rsid w:val="00984F2A"/>
    <w:rsid w:val="009868A8"/>
    <w:rsid w:val="00990B11"/>
    <w:rsid w:val="00994FF7"/>
    <w:rsid w:val="009A127C"/>
    <w:rsid w:val="009A26DB"/>
    <w:rsid w:val="009A496D"/>
    <w:rsid w:val="009A4AED"/>
    <w:rsid w:val="009B024D"/>
    <w:rsid w:val="009B053B"/>
    <w:rsid w:val="009B7CCB"/>
    <w:rsid w:val="009C476A"/>
    <w:rsid w:val="009C6029"/>
    <w:rsid w:val="009D1120"/>
    <w:rsid w:val="009D2C10"/>
    <w:rsid w:val="009D334A"/>
    <w:rsid w:val="009D4D2E"/>
    <w:rsid w:val="009E5987"/>
    <w:rsid w:val="00A06AB9"/>
    <w:rsid w:val="00A1152B"/>
    <w:rsid w:val="00A119F4"/>
    <w:rsid w:val="00A12E2A"/>
    <w:rsid w:val="00A13321"/>
    <w:rsid w:val="00A16EC9"/>
    <w:rsid w:val="00A23089"/>
    <w:rsid w:val="00A250D6"/>
    <w:rsid w:val="00A271DF"/>
    <w:rsid w:val="00A35033"/>
    <w:rsid w:val="00A51CDC"/>
    <w:rsid w:val="00A56173"/>
    <w:rsid w:val="00A602E8"/>
    <w:rsid w:val="00A620AC"/>
    <w:rsid w:val="00A63DCB"/>
    <w:rsid w:val="00A65315"/>
    <w:rsid w:val="00A67B95"/>
    <w:rsid w:val="00A714CC"/>
    <w:rsid w:val="00A71736"/>
    <w:rsid w:val="00A725AE"/>
    <w:rsid w:val="00A77553"/>
    <w:rsid w:val="00A86389"/>
    <w:rsid w:val="00A909F1"/>
    <w:rsid w:val="00A9280E"/>
    <w:rsid w:val="00AA320A"/>
    <w:rsid w:val="00AB1019"/>
    <w:rsid w:val="00AB5437"/>
    <w:rsid w:val="00AB7DBC"/>
    <w:rsid w:val="00AC1D3D"/>
    <w:rsid w:val="00AD2EF5"/>
    <w:rsid w:val="00AE0876"/>
    <w:rsid w:val="00AE2692"/>
    <w:rsid w:val="00B01571"/>
    <w:rsid w:val="00B01B27"/>
    <w:rsid w:val="00B02107"/>
    <w:rsid w:val="00B0588B"/>
    <w:rsid w:val="00B07A54"/>
    <w:rsid w:val="00B1179E"/>
    <w:rsid w:val="00B15F3B"/>
    <w:rsid w:val="00B22784"/>
    <w:rsid w:val="00B26743"/>
    <w:rsid w:val="00B332ED"/>
    <w:rsid w:val="00B44840"/>
    <w:rsid w:val="00B44A61"/>
    <w:rsid w:val="00B46CA8"/>
    <w:rsid w:val="00B52487"/>
    <w:rsid w:val="00B54845"/>
    <w:rsid w:val="00B55529"/>
    <w:rsid w:val="00B55E0E"/>
    <w:rsid w:val="00B56ABB"/>
    <w:rsid w:val="00B6291A"/>
    <w:rsid w:val="00B65437"/>
    <w:rsid w:val="00B65ECC"/>
    <w:rsid w:val="00B70360"/>
    <w:rsid w:val="00B7130B"/>
    <w:rsid w:val="00B7164F"/>
    <w:rsid w:val="00B80FF2"/>
    <w:rsid w:val="00B839DF"/>
    <w:rsid w:val="00B84CC5"/>
    <w:rsid w:val="00B86A7F"/>
    <w:rsid w:val="00B91401"/>
    <w:rsid w:val="00B94111"/>
    <w:rsid w:val="00B9543B"/>
    <w:rsid w:val="00B97810"/>
    <w:rsid w:val="00B97D39"/>
    <w:rsid w:val="00BA366D"/>
    <w:rsid w:val="00BB1F42"/>
    <w:rsid w:val="00BB2627"/>
    <w:rsid w:val="00BB29BA"/>
    <w:rsid w:val="00BB35E9"/>
    <w:rsid w:val="00BC171C"/>
    <w:rsid w:val="00BC1C7D"/>
    <w:rsid w:val="00BE0BE9"/>
    <w:rsid w:val="00BE16B4"/>
    <w:rsid w:val="00BF3D00"/>
    <w:rsid w:val="00C0623C"/>
    <w:rsid w:val="00C06814"/>
    <w:rsid w:val="00C12AC8"/>
    <w:rsid w:val="00C23386"/>
    <w:rsid w:val="00C238A3"/>
    <w:rsid w:val="00C26415"/>
    <w:rsid w:val="00C3311D"/>
    <w:rsid w:val="00C358A6"/>
    <w:rsid w:val="00C371CC"/>
    <w:rsid w:val="00C37DC0"/>
    <w:rsid w:val="00C4273C"/>
    <w:rsid w:val="00C434F5"/>
    <w:rsid w:val="00C44489"/>
    <w:rsid w:val="00C53B59"/>
    <w:rsid w:val="00C55332"/>
    <w:rsid w:val="00C61610"/>
    <w:rsid w:val="00C6493C"/>
    <w:rsid w:val="00C85784"/>
    <w:rsid w:val="00C866AC"/>
    <w:rsid w:val="00C86F89"/>
    <w:rsid w:val="00CA161D"/>
    <w:rsid w:val="00CA613B"/>
    <w:rsid w:val="00CA66F3"/>
    <w:rsid w:val="00CB03AE"/>
    <w:rsid w:val="00CB5194"/>
    <w:rsid w:val="00CB64F9"/>
    <w:rsid w:val="00CB6F7C"/>
    <w:rsid w:val="00CC32F8"/>
    <w:rsid w:val="00CC4E20"/>
    <w:rsid w:val="00CC58D5"/>
    <w:rsid w:val="00CC621B"/>
    <w:rsid w:val="00CC75AB"/>
    <w:rsid w:val="00CD0491"/>
    <w:rsid w:val="00CD5DB9"/>
    <w:rsid w:val="00CE0CFA"/>
    <w:rsid w:val="00CE2A00"/>
    <w:rsid w:val="00CE57E6"/>
    <w:rsid w:val="00CF51FE"/>
    <w:rsid w:val="00CF5867"/>
    <w:rsid w:val="00D009BD"/>
    <w:rsid w:val="00D051B6"/>
    <w:rsid w:val="00D07226"/>
    <w:rsid w:val="00D1173D"/>
    <w:rsid w:val="00D13E9E"/>
    <w:rsid w:val="00D157DC"/>
    <w:rsid w:val="00D211B4"/>
    <w:rsid w:val="00D242AE"/>
    <w:rsid w:val="00D2646A"/>
    <w:rsid w:val="00D310FD"/>
    <w:rsid w:val="00D34E36"/>
    <w:rsid w:val="00D37356"/>
    <w:rsid w:val="00D41C8C"/>
    <w:rsid w:val="00D5798C"/>
    <w:rsid w:val="00D62542"/>
    <w:rsid w:val="00D654D9"/>
    <w:rsid w:val="00D67D0C"/>
    <w:rsid w:val="00D67D69"/>
    <w:rsid w:val="00D7682F"/>
    <w:rsid w:val="00D77F76"/>
    <w:rsid w:val="00D8103A"/>
    <w:rsid w:val="00D83FBD"/>
    <w:rsid w:val="00D840FD"/>
    <w:rsid w:val="00D87E07"/>
    <w:rsid w:val="00D9006A"/>
    <w:rsid w:val="00D91F41"/>
    <w:rsid w:val="00DB2727"/>
    <w:rsid w:val="00DB782F"/>
    <w:rsid w:val="00DC0880"/>
    <w:rsid w:val="00DC7CAF"/>
    <w:rsid w:val="00DD7258"/>
    <w:rsid w:val="00DE0712"/>
    <w:rsid w:val="00DE36A6"/>
    <w:rsid w:val="00DE5138"/>
    <w:rsid w:val="00DF29E6"/>
    <w:rsid w:val="00E07CD6"/>
    <w:rsid w:val="00E1054C"/>
    <w:rsid w:val="00E14370"/>
    <w:rsid w:val="00E1777C"/>
    <w:rsid w:val="00E210A4"/>
    <w:rsid w:val="00E223BD"/>
    <w:rsid w:val="00E31E6B"/>
    <w:rsid w:val="00E40381"/>
    <w:rsid w:val="00E4305A"/>
    <w:rsid w:val="00E43405"/>
    <w:rsid w:val="00E434E1"/>
    <w:rsid w:val="00E46FC8"/>
    <w:rsid w:val="00E53C9E"/>
    <w:rsid w:val="00E53EB4"/>
    <w:rsid w:val="00E712EE"/>
    <w:rsid w:val="00E74380"/>
    <w:rsid w:val="00E82587"/>
    <w:rsid w:val="00E94798"/>
    <w:rsid w:val="00E95155"/>
    <w:rsid w:val="00EA3879"/>
    <w:rsid w:val="00EA3B4D"/>
    <w:rsid w:val="00EA6A2B"/>
    <w:rsid w:val="00EB21D5"/>
    <w:rsid w:val="00EB2F10"/>
    <w:rsid w:val="00EB3C3D"/>
    <w:rsid w:val="00EB481B"/>
    <w:rsid w:val="00EC05FD"/>
    <w:rsid w:val="00EC10A6"/>
    <w:rsid w:val="00ED0969"/>
    <w:rsid w:val="00EE6745"/>
    <w:rsid w:val="00EF3589"/>
    <w:rsid w:val="00EF4EAD"/>
    <w:rsid w:val="00F02DE8"/>
    <w:rsid w:val="00F03B91"/>
    <w:rsid w:val="00F053DF"/>
    <w:rsid w:val="00F06129"/>
    <w:rsid w:val="00F12B31"/>
    <w:rsid w:val="00F14608"/>
    <w:rsid w:val="00F160F1"/>
    <w:rsid w:val="00F1727E"/>
    <w:rsid w:val="00F17E91"/>
    <w:rsid w:val="00F25BF5"/>
    <w:rsid w:val="00F266F9"/>
    <w:rsid w:val="00F353AC"/>
    <w:rsid w:val="00F3649F"/>
    <w:rsid w:val="00F469E0"/>
    <w:rsid w:val="00F47A74"/>
    <w:rsid w:val="00F515F3"/>
    <w:rsid w:val="00F518AD"/>
    <w:rsid w:val="00F640A3"/>
    <w:rsid w:val="00F66052"/>
    <w:rsid w:val="00F670BF"/>
    <w:rsid w:val="00F777F4"/>
    <w:rsid w:val="00F77ECC"/>
    <w:rsid w:val="00F80A37"/>
    <w:rsid w:val="00F82919"/>
    <w:rsid w:val="00F872AD"/>
    <w:rsid w:val="00F87D26"/>
    <w:rsid w:val="00F9481C"/>
    <w:rsid w:val="00FB2D47"/>
    <w:rsid w:val="00FB3EF9"/>
    <w:rsid w:val="00FC1D2A"/>
    <w:rsid w:val="00FC2245"/>
    <w:rsid w:val="00FC27BD"/>
    <w:rsid w:val="00FC31C1"/>
    <w:rsid w:val="00FC6405"/>
    <w:rsid w:val="00FC6FA8"/>
    <w:rsid w:val="00FC76B9"/>
    <w:rsid w:val="00FD0817"/>
    <w:rsid w:val="00FD1276"/>
    <w:rsid w:val="00FD1B7C"/>
    <w:rsid w:val="00FD24F6"/>
    <w:rsid w:val="00FD484D"/>
    <w:rsid w:val="00FD6042"/>
    <w:rsid w:val="00FE252C"/>
    <w:rsid w:val="00FE2DA1"/>
    <w:rsid w:val="00FE337E"/>
    <w:rsid w:val="00FF3348"/>
    <w:rsid w:val="095727E2"/>
    <w:rsid w:val="0BF76F6F"/>
    <w:rsid w:val="2F064DF4"/>
    <w:rsid w:val="363F7050"/>
    <w:rsid w:val="4D617594"/>
    <w:rsid w:val="4F65D346"/>
    <w:rsid w:val="4FEB91DD"/>
    <w:rsid w:val="7E4E68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40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E9"/>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646A31"/>
    <w:pPr>
      <w:keepNext/>
      <w:keepLines/>
      <w:numPr>
        <w:numId w:val="17"/>
      </w:numPr>
      <w:spacing w:before="480" w:after="120" w:line="300" w:lineRule="atLeast"/>
      <w:ind w:left="993" w:hanging="993"/>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numPr>
        <w:ilvl w:val="1"/>
      </w:num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numPr>
        <w:ilvl w:val="2"/>
      </w:num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numPr>
        <w:ilvl w:val="3"/>
      </w:numPr>
      <w:spacing w:line="360" w:lineRule="atLeast"/>
      <w:outlineLvl w:val="3"/>
    </w:pPr>
    <w:rPr>
      <w:color w:val="002549" w:themeColor="accent1"/>
      <w:sz w:val="28"/>
      <w:szCs w:val="24"/>
    </w:rPr>
  </w:style>
  <w:style w:type="paragraph" w:styleId="Heading5">
    <w:name w:val="heading 5"/>
    <w:basedOn w:val="Normal"/>
    <w:next w:val="Normal"/>
    <w:link w:val="Heading5Char"/>
    <w:uiPriority w:val="9"/>
    <w:unhideWhenUsed/>
    <w:qFormat/>
    <w:rsid w:val="005B5DD8"/>
    <w:pPr>
      <w:keepNext/>
      <w:keepLines/>
      <w:numPr>
        <w:ilvl w:val="4"/>
        <w:numId w:val="17"/>
      </w:numPr>
      <w:spacing w:before="480"/>
      <w:outlineLvl w:val="4"/>
    </w:pPr>
    <w:rPr>
      <w:rFonts w:asciiTheme="majorHAnsi" w:eastAsiaTheme="majorEastAsia" w:hAnsiTheme="majorHAnsi" w:cstheme="majorBidi"/>
      <w:b/>
      <w:color w:val="001224" w:themeColor="text2"/>
    </w:rPr>
  </w:style>
  <w:style w:type="paragraph" w:styleId="Heading6">
    <w:name w:val="heading 6"/>
    <w:basedOn w:val="Normal"/>
    <w:next w:val="Normal"/>
    <w:link w:val="Heading6Char"/>
    <w:uiPriority w:val="9"/>
    <w:unhideWhenUsed/>
    <w:qFormat/>
    <w:rsid w:val="00B56ABB"/>
    <w:pPr>
      <w:keepNext/>
      <w:keepLines/>
      <w:numPr>
        <w:ilvl w:val="5"/>
        <w:numId w:val="17"/>
      </w:numPr>
      <w:spacing w:before="40"/>
      <w:outlineLvl w:val="5"/>
    </w:pPr>
    <w:rPr>
      <w:rFonts w:asciiTheme="majorHAnsi" w:eastAsiaTheme="majorEastAsia" w:hAnsiTheme="majorHAnsi" w:cstheme="majorBidi"/>
      <w:i/>
      <w:iCs/>
      <w:caps/>
      <w:color w:val="001224" w:themeColor="accent1" w:themeShade="80"/>
    </w:rPr>
  </w:style>
  <w:style w:type="paragraph" w:styleId="Heading7">
    <w:name w:val="heading 7"/>
    <w:basedOn w:val="Normal"/>
    <w:next w:val="Normal"/>
    <w:link w:val="Heading7Char"/>
    <w:uiPriority w:val="9"/>
    <w:semiHidden/>
    <w:unhideWhenUsed/>
    <w:qFormat/>
    <w:rsid w:val="00B56ABB"/>
    <w:pPr>
      <w:keepNext/>
      <w:keepLines/>
      <w:numPr>
        <w:ilvl w:val="6"/>
        <w:numId w:val="17"/>
      </w:numPr>
      <w:spacing w:before="40"/>
      <w:outlineLvl w:val="6"/>
    </w:pPr>
    <w:rPr>
      <w:rFonts w:asciiTheme="majorHAnsi" w:eastAsiaTheme="majorEastAsia" w:hAnsiTheme="majorHAnsi" w:cstheme="majorBidi"/>
      <w:b/>
      <w:bCs/>
      <w:color w:val="001224" w:themeColor="accent1" w:themeShade="80"/>
    </w:rPr>
  </w:style>
  <w:style w:type="paragraph" w:styleId="Heading8">
    <w:name w:val="heading 8"/>
    <w:basedOn w:val="Normal"/>
    <w:next w:val="Normal"/>
    <w:link w:val="Heading8Char"/>
    <w:uiPriority w:val="9"/>
    <w:semiHidden/>
    <w:unhideWhenUsed/>
    <w:qFormat/>
    <w:rsid w:val="00B56ABB"/>
    <w:pPr>
      <w:keepNext/>
      <w:keepLines/>
      <w:numPr>
        <w:ilvl w:val="7"/>
        <w:numId w:val="17"/>
      </w:numPr>
      <w:spacing w:before="40"/>
      <w:outlineLvl w:val="7"/>
    </w:pPr>
    <w:rPr>
      <w:rFonts w:asciiTheme="majorHAnsi" w:eastAsiaTheme="majorEastAsia" w:hAnsiTheme="majorHAnsi" w:cstheme="majorBidi"/>
      <w:b/>
      <w:bCs/>
      <w:i/>
      <w:iCs/>
      <w:color w:val="001224" w:themeColor="accent1" w:themeShade="80"/>
    </w:rPr>
  </w:style>
  <w:style w:type="paragraph" w:styleId="Heading9">
    <w:name w:val="heading 9"/>
    <w:basedOn w:val="Normal"/>
    <w:next w:val="Normal"/>
    <w:link w:val="Heading9Char"/>
    <w:uiPriority w:val="9"/>
    <w:semiHidden/>
    <w:unhideWhenUsed/>
    <w:qFormat/>
    <w:rsid w:val="00B56ABB"/>
    <w:pPr>
      <w:keepNext/>
      <w:keepLines/>
      <w:numPr>
        <w:ilvl w:val="8"/>
        <w:numId w:val="17"/>
      </w:numPr>
      <w:spacing w:before="40"/>
      <w:outlineLvl w:val="8"/>
    </w:pPr>
    <w:rPr>
      <w:rFonts w:asciiTheme="majorHAnsi" w:eastAsiaTheme="majorEastAsia" w:hAnsiTheme="majorHAnsi" w:cstheme="majorBidi"/>
      <w:i/>
      <w:iCs/>
      <w:color w:val="0012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1"/>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1"/>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1"/>
      </w:numPr>
      <w:spacing w:before="0" w:after="0"/>
      <w:ind w:left="1446"/>
      <w:contextualSpacing/>
    </w:pPr>
  </w:style>
  <w:style w:type="paragraph" w:styleId="ListBullet">
    <w:name w:val="List Bullet"/>
    <w:basedOn w:val="Normal"/>
    <w:uiPriority w:val="99"/>
    <w:unhideWhenUsed/>
    <w:rsid w:val="005B5DD8"/>
    <w:pPr>
      <w:numPr>
        <w:numId w:val="4"/>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3"/>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646A31"/>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254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1224"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1224" w:themeColor="text2"/>
      <w:spacing w:val="-6"/>
      <w:sz w:val="28"/>
      <w:szCs w:val="32"/>
    </w:rPr>
  </w:style>
  <w:style w:type="paragraph" w:styleId="ListParagraph">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1224" w:themeColor="text2"/>
      <w:sz w:val="24"/>
    </w:rPr>
  </w:style>
  <w:style w:type="character" w:customStyle="1" w:styleId="Heading6Char">
    <w:name w:val="Heading 6 Char"/>
    <w:basedOn w:val="DefaultParagraphFont"/>
    <w:link w:val="Heading6"/>
    <w:uiPriority w:val="9"/>
    <w:rsid w:val="00B56ABB"/>
    <w:rPr>
      <w:rFonts w:asciiTheme="majorHAnsi" w:eastAsiaTheme="majorEastAsia" w:hAnsiTheme="majorHAnsi" w:cstheme="majorBidi"/>
      <w:i/>
      <w:iCs/>
      <w:caps/>
      <w:color w:val="001224" w:themeColor="accent1" w:themeShade="80"/>
      <w:sz w:val="24"/>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224" w:themeColor="accent1" w:themeShade="80"/>
      <w:sz w:val="24"/>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224" w:themeColor="accent1" w:themeShade="80"/>
      <w:sz w:val="24"/>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224" w:themeColor="accent1" w:themeShade="80"/>
      <w:sz w:val="24"/>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EA3B4D"/>
    <w:pPr>
      <w:numPr>
        <w:ilvl w:val="1"/>
      </w:numPr>
      <w:spacing w:before="0" w:after="480" w:line="520" w:lineRule="atLeast"/>
    </w:pPr>
    <w:rPr>
      <w:rFonts w:eastAsiaTheme="majorEastAsia" w:cstheme="majorBidi"/>
      <w:color w:val="004180" w:themeColor="accent2"/>
      <w:sz w:val="44"/>
      <w:szCs w:val="28"/>
    </w:rPr>
  </w:style>
  <w:style w:type="character" w:customStyle="1" w:styleId="SubtitleChar">
    <w:name w:val="Subtitle Char"/>
    <w:basedOn w:val="DefaultParagraphFont"/>
    <w:link w:val="Subtitle"/>
    <w:uiPriority w:val="8"/>
    <w:rsid w:val="00EA3B4D"/>
    <w:rPr>
      <w:rFonts w:ascii="Arial" w:eastAsiaTheme="majorEastAsia" w:hAnsi="Arial" w:cstheme="majorBidi"/>
      <w:color w:val="004180" w:themeColor="accent2"/>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1224" w:themeColor="text2"/>
      <w:szCs w:val="24"/>
    </w:rPr>
  </w:style>
  <w:style w:type="character" w:customStyle="1" w:styleId="QuoteChar">
    <w:name w:val="Quote Char"/>
    <w:basedOn w:val="DefaultParagraphFont"/>
    <w:link w:val="Quote"/>
    <w:uiPriority w:val="29"/>
    <w:rsid w:val="00C6493C"/>
    <w:rPr>
      <w:rFonts w:ascii="Arial" w:hAnsi="Arial"/>
      <w:i/>
      <w:color w:val="001224"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1224"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1224"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0812" w:themeColor="text2" w:themeShade="80"/>
      <w:sz w:val="20"/>
    </w:rPr>
    <w:tblPr>
      <w:tblStyleRowBandSize w:val="1"/>
      <w:tblBorders>
        <w:insideH w:val="dotted" w:sz="4" w:space="0" w:color="002549" w:themeColor="accent1"/>
        <w:insideV w:val="dotted" w:sz="4" w:space="0" w:color="00254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418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EA3B4D"/>
    <w:pPr>
      <w:spacing w:before="0" w:line="240" w:lineRule="auto"/>
      <w:contextualSpacing/>
    </w:pPr>
    <w:rPr>
      <w:rFonts w:asciiTheme="majorHAnsi" w:hAnsiTheme="majorHAnsi"/>
      <w:b/>
      <w:color w:val="005EB8" w:themeColor="accent3"/>
      <w:spacing w:val="-10"/>
      <w:kern w:val="28"/>
      <w:sz w:val="72"/>
      <w:szCs w:val="56"/>
    </w:rPr>
  </w:style>
  <w:style w:type="character" w:customStyle="1" w:styleId="TitleChar">
    <w:name w:val="Title Char"/>
    <w:basedOn w:val="DefaultParagraphFont"/>
    <w:link w:val="Title"/>
    <w:uiPriority w:val="9"/>
    <w:rsid w:val="00EA3B4D"/>
    <w:rPr>
      <w:rFonts w:asciiTheme="majorHAnsi" w:eastAsiaTheme="majorEastAsia" w:hAnsiTheme="majorHAnsi" w:cstheme="majorBidi"/>
      <w:b/>
      <w:color w:val="005EB8" w:themeColor="accent3"/>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646A31"/>
    <w:pPr>
      <w:tabs>
        <w:tab w:val="left" w:pos="567"/>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2549" w:themeColor="accent1"/>
        <w:left w:val="single" w:sz="4" w:space="0" w:color="002549" w:themeColor="accent1"/>
        <w:bottom w:val="single" w:sz="4" w:space="0" w:color="002549" w:themeColor="accent1"/>
        <w:right w:val="single" w:sz="4" w:space="0" w:color="002549" w:themeColor="accent1"/>
      </w:tblBorders>
    </w:tblPr>
    <w:tblStylePr w:type="firstRow">
      <w:rPr>
        <w:b/>
        <w:bCs/>
        <w:color w:val="FFFFFF" w:themeColor="background1"/>
      </w:rPr>
      <w:tblPr/>
      <w:tcPr>
        <w:shd w:val="clear" w:color="auto" w:fill="002549" w:themeFill="accent1"/>
      </w:tcPr>
    </w:tblStylePr>
    <w:tblStylePr w:type="lastRow">
      <w:rPr>
        <w:b/>
        <w:bCs/>
      </w:rPr>
      <w:tblPr/>
      <w:tcPr>
        <w:tcBorders>
          <w:top w:val="double" w:sz="4" w:space="0" w:color="0025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49" w:themeColor="accent1"/>
          <w:right w:val="single" w:sz="4" w:space="0" w:color="002549" w:themeColor="accent1"/>
        </w:tcBorders>
      </w:tcPr>
    </w:tblStylePr>
    <w:tblStylePr w:type="band1Horz">
      <w:tblPr/>
      <w:tcPr>
        <w:tcBorders>
          <w:top w:val="single" w:sz="4" w:space="0" w:color="002549" w:themeColor="accent1"/>
          <w:bottom w:val="single" w:sz="4" w:space="0" w:color="0025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49" w:themeColor="accent1"/>
          <w:left w:val="nil"/>
        </w:tcBorders>
      </w:tcPr>
    </w:tblStylePr>
    <w:tblStylePr w:type="swCell">
      <w:tblPr/>
      <w:tcPr>
        <w:tcBorders>
          <w:top w:val="double" w:sz="4" w:space="0" w:color="002549" w:themeColor="accent1"/>
          <w:right w:val="nil"/>
        </w:tcBorders>
      </w:tcPr>
    </w:tblStylePr>
  </w:style>
  <w:style w:type="paragraph" w:styleId="TOC2">
    <w:name w:val="toc 2"/>
    <w:basedOn w:val="Normal"/>
    <w:next w:val="Normal"/>
    <w:autoRedefine/>
    <w:uiPriority w:val="39"/>
    <w:unhideWhenUsed/>
    <w:rsid w:val="00097328"/>
    <w:pPr>
      <w:tabs>
        <w:tab w:val="left" w:pos="958"/>
        <w:tab w:val="right" w:leader="dot" w:pos="9060"/>
      </w:tabs>
      <w:spacing w:before="60" w:after="0"/>
      <w:ind w:left="993" w:hanging="755"/>
    </w:pPr>
  </w:style>
  <w:style w:type="paragraph" w:styleId="TOC3">
    <w:name w:val="toc 3"/>
    <w:basedOn w:val="Normal"/>
    <w:next w:val="Normal"/>
    <w:autoRedefine/>
    <w:uiPriority w:val="39"/>
    <w:unhideWhenUsed/>
    <w:rsid w:val="005D02D4"/>
    <w:pPr>
      <w:tabs>
        <w:tab w:val="right" w:leader="dot" w:pos="9060"/>
      </w:tabs>
      <w:spacing w:before="60" w:after="0"/>
      <w:ind w:left="1701" w:hanging="567"/>
    </w:pPr>
    <w:rPr>
      <w:iCs/>
      <w:noProof/>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0A8FF" w:themeColor="accent1" w:themeTint="66"/>
        <w:left w:val="single" w:sz="4" w:space="0" w:color="50A8FF" w:themeColor="accent1" w:themeTint="66"/>
        <w:bottom w:val="single" w:sz="4" w:space="0" w:color="50A8FF" w:themeColor="accent1" w:themeTint="66"/>
        <w:right w:val="single" w:sz="4" w:space="0" w:color="50A8FF" w:themeColor="accent1" w:themeTint="66"/>
        <w:insideH w:val="single" w:sz="4" w:space="0" w:color="50A8FF" w:themeColor="accent1" w:themeTint="66"/>
        <w:insideV w:val="single" w:sz="4" w:space="0" w:color="50A8FF" w:themeColor="accent1" w:themeTint="66"/>
      </w:tblBorders>
    </w:tblPr>
    <w:tblStylePr w:type="firstRow">
      <w:rPr>
        <w:b/>
        <w:bCs/>
      </w:rPr>
      <w:tblPr/>
      <w:tcPr>
        <w:tcBorders>
          <w:bottom w:val="single" w:sz="12" w:space="0" w:color="007DF7" w:themeColor="accent1" w:themeTint="99"/>
        </w:tcBorders>
      </w:tcPr>
    </w:tblStylePr>
    <w:tblStylePr w:type="lastRow">
      <w:rPr>
        <w:b/>
        <w:bCs/>
      </w:rPr>
      <w:tblPr/>
      <w:tcPr>
        <w:tcBorders>
          <w:top w:val="double" w:sz="2" w:space="0" w:color="007DF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qFormat/>
    <w:rsid w:val="002A0767"/>
    <w:pPr>
      <w:suppressAutoHyphens w:val="0"/>
      <w:spacing w:before="0" w:after="120" w:line="300" w:lineRule="atLeast"/>
    </w:pPr>
    <w:rPr>
      <w:rFonts w:asciiTheme="minorHAnsi" w:hAnsiTheme="minorHAnsi"/>
      <w:color w:val="auto"/>
      <w:sz w:val="20"/>
    </w:rPr>
  </w:style>
  <w:style w:type="character" w:customStyle="1" w:styleId="BodyTextChar">
    <w:name w:val="Body Text Char"/>
    <w:basedOn w:val="DefaultParagraphFont"/>
    <w:link w:val="BodyText"/>
    <w:rsid w:val="002A0767"/>
    <w:rPr>
      <w:sz w:val="20"/>
    </w:rPr>
  </w:style>
  <w:style w:type="paragraph" w:customStyle="1" w:styleId="TableText">
    <w:name w:val="Table Text"/>
    <w:basedOn w:val="Normal"/>
    <w:uiPriority w:val="3"/>
    <w:qFormat/>
    <w:rsid w:val="002A0767"/>
    <w:pPr>
      <w:suppressAutoHyphens w:val="0"/>
      <w:spacing w:before="60" w:after="60" w:line="240" w:lineRule="auto"/>
    </w:pPr>
    <w:rPr>
      <w:rFonts w:asciiTheme="minorHAnsi" w:hAnsiTheme="minorHAnsi"/>
      <w:color w:val="auto"/>
      <w:sz w:val="18"/>
    </w:rPr>
  </w:style>
  <w:style w:type="character" w:styleId="CommentReference">
    <w:name w:val="annotation reference"/>
    <w:basedOn w:val="DefaultParagraphFont"/>
    <w:uiPriority w:val="99"/>
    <w:semiHidden/>
    <w:unhideWhenUsed/>
    <w:rsid w:val="002A0767"/>
    <w:rPr>
      <w:sz w:val="16"/>
      <w:szCs w:val="16"/>
    </w:rPr>
  </w:style>
  <w:style w:type="paragraph" w:styleId="CommentText">
    <w:name w:val="annotation text"/>
    <w:basedOn w:val="Normal"/>
    <w:link w:val="CommentTextChar"/>
    <w:uiPriority w:val="99"/>
    <w:unhideWhenUsed/>
    <w:rsid w:val="002A0767"/>
    <w:pPr>
      <w:spacing w:line="240" w:lineRule="auto"/>
    </w:pPr>
    <w:rPr>
      <w:sz w:val="20"/>
      <w:szCs w:val="20"/>
    </w:rPr>
  </w:style>
  <w:style w:type="character" w:customStyle="1" w:styleId="CommentTextChar">
    <w:name w:val="Comment Text Char"/>
    <w:basedOn w:val="DefaultParagraphFont"/>
    <w:link w:val="CommentText"/>
    <w:uiPriority w:val="99"/>
    <w:rsid w:val="002A0767"/>
    <w:rPr>
      <w:rFonts w:ascii="Arial" w:hAnsi="Arial"/>
      <w:color w:val="2F2F2F" w:themeColor="text1" w:themeTint="E6"/>
      <w:sz w:val="20"/>
      <w:szCs w:val="20"/>
    </w:rPr>
  </w:style>
  <w:style w:type="table" w:customStyle="1" w:styleId="GlossaryTableFormat">
    <w:name w:val="Glossary Table Format"/>
    <w:basedOn w:val="TableNormal"/>
    <w:uiPriority w:val="99"/>
    <w:rsid w:val="002A0767"/>
    <w:pPr>
      <w:spacing w:after="0" w:line="240" w:lineRule="auto"/>
    </w:pPr>
    <w:tblPr>
      <w:tblStyleRowBandSize w:val="1"/>
    </w:tblPr>
    <w:tblStylePr w:type="band1Horz">
      <w:tblPr/>
      <w:tcPr>
        <w:shd w:val="clear" w:color="auto" w:fill="DAD8BC"/>
      </w:tcPr>
    </w:tblStylePr>
  </w:style>
  <w:style w:type="character" w:customStyle="1" w:styleId="listnumber0">
    <w:name w:val="listnumber"/>
    <w:basedOn w:val="DefaultParagraphFont"/>
    <w:rsid w:val="002A0767"/>
  </w:style>
  <w:style w:type="paragraph" w:styleId="Revision">
    <w:name w:val="Revision"/>
    <w:hidden/>
    <w:uiPriority w:val="99"/>
    <w:semiHidden/>
    <w:rsid w:val="007F57BD"/>
    <w:pPr>
      <w:spacing w:after="0" w:line="240" w:lineRule="auto"/>
    </w:pPr>
    <w:rPr>
      <w:rFonts w:ascii="Arial" w:hAnsi="Arial"/>
      <w:color w:val="2F2F2F" w:themeColor="text1" w:themeTint="E6"/>
      <w:sz w:val="24"/>
    </w:rPr>
  </w:style>
  <w:style w:type="character" w:styleId="UnresolvedMention">
    <w:name w:val="Unresolved Mention"/>
    <w:basedOn w:val="DefaultParagraphFont"/>
    <w:uiPriority w:val="99"/>
    <w:semiHidden/>
    <w:unhideWhenUsed/>
    <w:rsid w:val="00FC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214434998">
      <w:bodyDiv w:val="1"/>
      <w:marLeft w:val="0"/>
      <w:marRight w:val="0"/>
      <w:marTop w:val="0"/>
      <w:marBottom w:val="0"/>
      <w:divBdr>
        <w:top w:val="none" w:sz="0" w:space="0" w:color="auto"/>
        <w:left w:val="none" w:sz="0" w:space="0" w:color="auto"/>
        <w:bottom w:val="none" w:sz="0" w:space="0" w:color="auto"/>
        <w:right w:val="none" w:sz="0" w:space="0" w:color="auto"/>
      </w:divBdr>
    </w:div>
    <w:div w:id="330523518">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 w:id="1701129479">
      <w:bodyDiv w:val="1"/>
      <w:marLeft w:val="0"/>
      <w:marRight w:val="0"/>
      <w:marTop w:val="0"/>
      <w:marBottom w:val="0"/>
      <w:divBdr>
        <w:top w:val="none" w:sz="0" w:space="0" w:color="auto"/>
        <w:left w:val="none" w:sz="0" w:space="0" w:color="auto"/>
        <w:bottom w:val="none" w:sz="0" w:space="0" w:color="auto"/>
        <w:right w:val="none" w:sz="0" w:space="0" w:color="auto"/>
      </w:divBdr>
    </w:div>
    <w:div w:id="20357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Whole-of-Government">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3041</Words>
  <Characters>17338</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20339</CharactersWithSpaces>
  <SharedDoc>false</SharedDoc>
  <HLinks>
    <vt:vector size="168" baseType="variant">
      <vt:variant>
        <vt:i4>1310772</vt:i4>
      </vt:variant>
      <vt:variant>
        <vt:i4>164</vt:i4>
      </vt:variant>
      <vt:variant>
        <vt:i4>0</vt:i4>
      </vt:variant>
      <vt:variant>
        <vt:i4>5</vt:i4>
      </vt:variant>
      <vt:variant>
        <vt:lpwstr/>
      </vt:variant>
      <vt:variant>
        <vt:lpwstr>_Toc215151620</vt:lpwstr>
      </vt:variant>
      <vt:variant>
        <vt:i4>1507380</vt:i4>
      </vt:variant>
      <vt:variant>
        <vt:i4>158</vt:i4>
      </vt:variant>
      <vt:variant>
        <vt:i4>0</vt:i4>
      </vt:variant>
      <vt:variant>
        <vt:i4>5</vt:i4>
      </vt:variant>
      <vt:variant>
        <vt:lpwstr/>
      </vt:variant>
      <vt:variant>
        <vt:lpwstr>_Toc215151619</vt:lpwstr>
      </vt:variant>
      <vt:variant>
        <vt:i4>1507380</vt:i4>
      </vt:variant>
      <vt:variant>
        <vt:i4>152</vt:i4>
      </vt:variant>
      <vt:variant>
        <vt:i4>0</vt:i4>
      </vt:variant>
      <vt:variant>
        <vt:i4>5</vt:i4>
      </vt:variant>
      <vt:variant>
        <vt:lpwstr/>
      </vt:variant>
      <vt:variant>
        <vt:lpwstr>_Toc215151618</vt:lpwstr>
      </vt:variant>
      <vt:variant>
        <vt:i4>1507380</vt:i4>
      </vt:variant>
      <vt:variant>
        <vt:i4>146</vt:i4>
      </vt:variant>
      <vt:variant>
        <vt:i4>0</vt:i4>
      </vt:variant>
      <vt:variant>
        <vt:i4>5</vt:i4>
      </vt:variant>
      <vt:variant>
        <vt:lpwstr/>
      </vt:variant>
      <vt:variant>
        <vt:lpwstr>_Toc215151617</vt:lpwstr>
      </vt:variant>
      <vt:variant>
        <vt:i4>1507380</vt:i4>
      </vt:variant>
      <vt:variant>
        <vt:i4>140</vt:i4>
      </vt:variant>
      <vt:variant>
        <vt:i4>0</vt:i4>
      </vt:variant>
      <vt:variant>
        <vt:i4>5</vt:i4>
      </vt:variant>
      <vt:variant>
        <vt:lpwstr/>
      </vt:variant>
      <vt:variant>
        <vt:lpwstr>_Toc215151616</vt:lpwstr>
      </vt:variant>
      <vt:variant>
        <vt:i4>1507380</vt:i4>
      </vt:variant>
      <vt:variant>
        <vt:i4>134</vt:i4>
      </vt:variant>
      <vt:variant>
        <vt:i4>0</vt:i4>
      </vt:variant>
      <vt:variant>
        <vt:i4>5</vt:i4>
      </vt:variant>
      <vt:variant>
        <vt:lpwstr/>
      </vt:variant>
      <vt:variant>
        <vt:lpwstr>_Toc215151615</vt:lpwstr>
      </vt:variant>
      <vt:variant>
        <vt:i4>1507380</vt:i4>
      </vt:variant>
      <vt:variant>
        <vt:i4>128</vt:i4>
      </vt:variant>
      <vt:variant>
        <vt:i4>0</vt:i4>
      </vt:variant>
      <vt:variant>
        <vt:i4>5</vt:i4>
      </vt:variant>
      <vt:variant>
        <vt:lpwstr/>
      </vt:variant>
      <vt:variant>
        <vt:lpwstr>_Toc215151614</vt:lpwstr>
      </vt:variant>
      <vt:variant>
        <vt:i4>1507380</vt:i4>
      </vt:variant>
      <vt:variant>
        <vt:i4>122</vt:i4>
      </vt:variant>
      <vt:variant>
        <vt:i4>0</vt:i4>
      </vt:variant>
      <vt:variant>
        <vt:i4>5</vt:i4>
      </vt:variant>
      <vt:variant>
        <vt:lpwstr/>
      </vt:variant>
      <vt:variant>
        <vt:lpwstr>_Toc215151613</vt:lpwstr>
      </vt:variant>
      <vt:variant>
        <vt:i4>1507380</vt:i4>
      </vt:variant>
      <vt:variant>
        <vt:i4>116</vt:i4>
      </vt:variant>
      <vt:variant>
        <vt:i4>0</vt:i4>
      </vt:variant>
      <vt:variant>
        <vt:i4>5</vt:i4>
      </vt:variant>
      <vt:variant>
        <vt:lpwstr/>
      </vt:variant>
      <vt:variant>
        <vt:lpwstr>_Toc215151612</vt:lpwstr>
      </vt:variant>
      <vt:variant>
        <vt:i4>1507380</vt:i4>
      </vt:variant>
      <vt:variant>
        <vt:i4>110</vt:i4>
      </vt:variant>
      <vt:variant>
        <vt:i4>0</vt:i4>
      </vt:variant>
      <vt:variant>
        <vt:i4>5</vt:i4>
      </vt:variant>
      <vt:variant>
        <vt:lpwstr/>
      </vt:variant>
      <vt:variant>
        <vt:lpwstr>_Toc215151611</vt:lpwstr>
      </vt:variant>
      <vt:variant>
        <vt:i4>1507380</vt:i4>
      </vt:variant>
      <vt:variant>
        <vt:i4>104</vt:i4>
      </vt:variant>
      <vt:variant>
        <vt:i4>0</vt:i4>
      </vt:variant>
      <vt:variant>
        <vt:i4>5</vt:i4>
      </vt:variant>
      <vt:variant>
        <vt:lpwstr/>
      </vt:variant>
      <vt:variant>
        <vt:lpwstr>_Toc215151610</vt:lpwstr>
      </vt:variant>
      <vt:variant>
        <vt:i4>1441844</vt:i4>
      </vt:variant>
      <vt:variant>
        <vt:i4>98</vt:i4>
      </vt:variant>
      <vt:variant>
        <vt:i4>0</vt:i4>
      </vt:variant>
      <vt:variant>
        <vt:i4>5</vt:i4>
      </vt:variant>
      <vt:variant>
        <vt:lpwstr/>
      </vt:variant>
      <vt:variant>
        <vt:lpwstr>_Toc215151609</vt:lpwstr>
      </vt:variant>
      <vt:variant>
        <vt:i4>1441844</vt:i4>
      </vt:variant>
      <vt:variant>
        <vt:i4>92</vt:i4>
      </vt:variant>
      <vt:variant>
        <vt:i4>0</vt:i4>
      </vt:variant>
      <vt:variant>
        <vt:i4>5</vt:i4>
      </vt:variant>
      <vt:variant>
        <vt:lpwstr/>
      </vt:variant>
      <vt:variant>
        <vt:lpwstr>_Toc215151608</vt:lpwstr>
      </vt:variant>
      <vt:variant>
        <vt:i4>1441844</vt:i4>
      </vt:variant>
      <vt:variant>
        <vt:i4>86</vt:i4>
      </vt:variant>
      <vt:variant>
        <vt:i4>0</vt:i4>
      </vt:variant>
      <vt:variant>
        <vt:i4>5</vt:i4>
      </vt:variant>
      <vt:variant>
        <vt:lpwstr/>
      </vt:variant>
      <vt:variant>
        <vt:lpwstr>_Toc215151607</vt:lpwstr>
      </vt:variant>
      <vt:variant>
        <vt:i4>1441844</vt:i4>
      </vt:variant>
      <vt:variant>
        <vt:i4>80</vt:i4>
      </vt:variant>
      <vt:variant>
        <vt:i4>0</vt:i4>
      </vt:variant>
      <vt:variant>
        <vt:i4>5</vt:i4>
      </vt:variant>
      <vt:variant>
        <vt:lpwstr/>
      </vt:variant>
      <vt:variant>
        <vt:lpwstr>_Toc215151606</vt:lpwstr>
      </vt:variant>
      <vt:variant>
        <vt:i4>1441844</vt:i4>
      </vt:variant>
      <vt:variant>
        <vt:i4>74</vt:i4>
      </vt:variant>
      <vt:variant>
        <vt:i4>0</vt:i4>
      </vt:variant>
      <vt:variant>
        <vt:i4>5</vt:i4>
      </vt:variant>
      <vt:variant>
        <vt:lpwstr/>
      </vt:variant>
      <vt:variant>
        <vt:lpwstr>_Toc215151605</vt:lpwstr>
      </vt:variant>
      <vt:variant>
        <vt:i4>1441844</vt:i4>
      </vt:variant>
      <vt:variant>
        <vt:i4>68</vt:i4>
      </vt:variant>
      <vt:variant>
        <vt:i4>0</vt:i4>
      </vt:variant>
      <vt:variant>
        <vt:i4>5</vt:i4>
      </vt:variant>
      <vt:variant>
        <vt:lpwstr/>
      </vt:variant>
      <vt:variant>
        <vt:lpwstr>_Toc215151604</vt:lpwstr>
      </vt:variant>
      <vt:variant>
        <vt:i4>1441844</vt:i4>
      </vt:variant>
      <vt:variant>
        <vt:i4>62</vt:i4>
      </vt:variant>
      <vt:variant>
        <vt:i4>0</vt:i4>
      </vt:variant>
      <vt:variant>
        <vt:i4>5</vt:i4>
      </vt:variant>
      <vt:variant>
        <vt:lpwstr/>
      </vt:variant>
      <vt:variant>
        <vt:lpwstr>_Toc215151603</vt:lpwstr>
      </vt:variant>
      <vt:variant>
        <vt:i4>1441844</vt:i4>
      </vt:variant>
      <vt:variant>
        <vt:i4>56</vt:i4>
      </vt:variant>
      <vt:variant>
        <vt:i4>0</vt:i4>
      </vt:variant>
      <vt:variant>
        <vt:i4>5</vt:i4>
      </vt:variant>
      <vt:variant>
        <vt:lpwstr/>
      </vt:variant>
      <vt:variant>
        <vt:lpwstr>_Toc215151602</vt:lpwstr>
      </vt:variant>
      <vt:variant>
        <vt:i4>1441844</vt:i4>
      </vt:variant>
      <vt:variant>
        <vt:i4>50</vt:i4>
      </vt:variant>
      <vt:variant>
        <vt:i4>0</vt:i4>
      </vt:variant>
      <vt:variant>
        <vt:i4>5</vt:i4>
      </vt:variant>
      <vt:variant>
        <vt:lpwstr/>
      </vt:variant>
      <vt:variant>
        <vt:lpwstr>_Toc215151601</vt:lpwstr>
      </vt:variant>
      <vt:variant>
        <vt:i4>1441844</vt:i4>
      </vt:variant>
      <vt:variant>
        <vt:i4>44</vt:i4>
      </vt:variant>
      <vt:variant>
        <vt:i4>0</vt:i4>
      </vt:variant>
      <vt:variant>
        <vt:i4>5</vt:i4>
      </vt:variant>
      <vt:variant>
        <vt:lpwstr/>
      </vt:variant>
      <vt:variant>
        <vt:lpwstr>_Toc215151600</vt:lpwstr>
      </vt:variant>
      <vt:variant>
        <vt:i4>2031671</vt:i4>
      </vt:variant>
      <vt:variant>
        <vt:i4>38</vt:i4>
      </vt:variant>
      <vt:variant>
        <vt:i4>0</vt:i4>
      </vt:variant>
      <vt:variant>
        <vt:i4>5</vt:i4>
      </vt:variant>
      <vt:variant>
        <vt:lpwstr/>
      </vt:variant>
      <vt:variant>
        <vt:lpwstr>_Toc215151599</vt:lpwstr>
      </vt:variant>
      <vt:variant>
        <vt:i4>2031671</vt:i4>
      </vt:variant>
      <vt:variant>
        <vt:i4>32</vt:i4>
      </vt:variant>
      <vt:variant>
        <vt:i4>0</vt:i4>
      </vt:variant>
      <vt:variant>
        <vt:i4>5</vt:i4>
      </vt:variant>
      <vt:variant>
        <vt:lpwstr/>
      </vt:variant>
      <vt:variant>
        <vt:lpwstr>_Toc215151598</vt:lpwstr>
      </vt:variant>
      <vt:variant>
        <vt:i4>2031671</vt:i4>
      </vt:variant>
      <vt:variant>
        <vt:i4>26</vt:i4>
      </vt:variant>
      <vt:variant>
        <vt:i4>0</vt:i4>
      </vt:variant>
      <vt:variant>
        <vt:i4>5</vt:i4>
      </vt:variant>
      <vt:variant>
        <vt:lpwstr/>
      </vt:variant>
      <vt:variant>
        <vt:lpwstr>_Toc215151597</vt:lpwstr>
      </vt:variant>
      <vt:variant>
        <vt:i4>2031671</vt:i4>
      </vt:variant>
      <vt:variant>
        <vt:i4>20</vt:i4>
      </vt:variant>
      <vt:variant>
        <vt:i4>0</vt:i4>
      </vt:variant>
      <vt:variant>
        <vt:i4>5</vt:i4>
      </vt:variant>
      <vt:variant>
        <vt:lpwstr/>
      </vt:variant>
      <vt:variant>
        <vt:lpwstr>_Toc215151596</vt:lpwstr>
      </vt:variant>
      <vt:variant>
        <vt:i4>2031671</vt:i4>
      </vt:variant>
      <vt:variant>
        <vt:i4>14</vt:i4>
      </vt:variant>
      <vt:variant>
        <vt:i4>0</vt:i4>
      </vt:variant>
      <vt:variant>
        <vt:i4>5</vt:i4>
      </vt:variant>
      <vt:variant>
        <vt:lpwstr/>
      </vt:variant>
      <vt:variant>
        <vt:lpwstr>_Toc215151595</vt:lpwstr>
      </vt:variant>
      <vt:variant>
        <vt:i4>2031671</vt:i4>
      </vt:variant>
      <vt:variant>
        <vt:i4>8</vt:i4>
      </vt:variant>
      <vt:variant>
        <vt:i4>0</vt:i4>
      </vt:variant>
      <vt:variant>
        <vt:i4>5</vt:i4>
      </vt:variant>
      <vt:variant>
        <vt:lpwstr/>
      </vt:variant>
      <vt:variant>
        <vt:lpwstr>_Toc215151594</vt:lpwstr>
      </vt:variant>
      <vt:variant>
        <vt:i4>2031671</vt:i4>
      </vt:variant>
      <vt:variant>
        <vt:i4>2</vt:i4>
      </vt:variant>
      <vt:variant>
        <vt:i4>0</vt:i4>
      </vt:variant>
      <vt:variant>
        <vt:i4>5</vt:i4>
      </vt:variant>
      <vt:variant>
        <vt:lpwstr/>
      </vt:variant>
      <vt:variant>
        <vt:lpwstr>_Toc215151593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Naming of Infrastructure Policy</dc:title>
  <dc:subject/>
  <dc:creator/>
  <cp:keywords/>
  <dc:description/>
  <cp:lastModifiedBy/>
  <cp:revision>1</cp:revision>
  <dcterms:created xsi:type="dcterms:W3CDTF">2026-06-17T03:11:00Z</dcterms:created>
  <dcterms:modified xsi:type="dcterms:W3CDTF">2026-06-17T03:11:00Z</dcterms:modified>
</cp:coreProperties>
</file>